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412BA">
      <w:pPr>
        <w:spacing w:after="0" w:line="240" w:lineRule="auto"/>
        <w:jc w:val="right"/>
        <w:rPr>
          <w:rFonts w:ascii="Arial" w:hAnsi="Arial" w:eastAsia="Times New Roman" w:cs="Arial"/>
          <w:bCs/>
          <w:sz w:val="24"/>
          <w:szCs w:val="24"/>
          <w:lang w:val="es-ES" w:eastAsia="es-ES"/>
        </w:rPr>
      </w:pPr>
    </w:p>
    <w:p w14:paraId="07AA2ED7">
      <w:pPr>
        <w:spacing w:after="0" w:line="240" w:lineRule="auto"/>
        <w:jc w:val="right"/>
        <w:rPr>
          <w:rFonts w:ascii="Arial" w:hAnsi="Arial" w:eastAsia="Times New Roman" w:cs="Arial"/>
          <w:bCs/>
          <w:sz w:val="24"/>
          <w:szCs w:val="24"/>
          <w:lang w:val="es-ES" w:eastAsia="es-ES"/>
        </w:rPr>
      </w:pPr>
      <w:r>
        <w:rPr>
          <w:rFonts w:ascii="Arial" w:hAnsi="Arial" w:eastAsia="Times New Roman" w:cs="Arial"/>
          <w:bCs/>
          <w:sz w:val="24"/>
          <w:szCs w:val="24"/>
          <w:lang w:val="es-ES" w:eastAsia="es-ES"/>
        </w:rPr>
        <w:t>Santiago del Estero, 12 de agosto de 2026</w:t>
      </w:r>
    </w:p>
    <w:p w14:paraId="6982647E">
      <w:pPr>
        <w:spacing w:after="0" w:line="240" w:lineRule="auto"/>
        <w:jc w:val="both"/>
        <w:rPr>
          <w:rFonts w:ascii="Arial" w:hAnsi="Arial" w:eastAsia="Times New Roman" w:cs="Arial"/>
          <w:b/>
          <w:bCs/>
          <w:sz w:val="24"/>
          <w:szCs w:val="24"/>
          <w:lang w:val="es-ES" w:eastAsia="es-ES"/>
        </w:rPr>
      </w:pPr>
    </w:p>
    <w:p w14:paraId="5920B1E5">
      <w:pPr>
        <w:spacing w:after="0" w:line="240" w:lineRule="auto"/>
        <w:jc w:val="both"/>
        <w:rPr>
          <w:rFonts w:ascii="Arial" w:hAnsi="Arial" w:eastAsia="Times New Roman" w:cs="Arial"/>
          <w:b/>
          <w:bCs/>
          <w:sz w:val="24"/>
          <w:szCs w:val="24"/>
          <w:lang w:val="es-ES" w:eastAsia="es-ES"/>
        </w:rPr>
      </w:pPr>
      <w:r>
        <w:rPr>
          <w:rFonts w:ascii="Arial" w:hAnsi="Arial" w:eastAsia="Times New Roman" w:cs="Arial"/>
          <w:b/>
          <w:bCs/>
          <w:sz w:val="24"/>
          <w:szCs w:val="24"/>
          <w:lang w:val="es-ES" w:eastAsia="es-ES"/>
        </w:rPr>
        <w:t>RESOLUCIÓN CD FCF Nº 162/2026</w:t>
      </w:r>
    </w:p>
    <w:p w14:paraId="7FF09FD2">
      <w:pPr>
        <w:spacing w:after="0" w:line="240" w:lineRule="auto"/>
        <w:jc w:val="both"/>
        <w:rPr>
          <w:rFonts w:ascii="Arial" w:hAnsi="Arial" w:eastAsia="Times New Roman" w:cs="Arial"/>
          <w:b/>
          <w:bCs/>
          <w:sz w:val="24"/>
          <w:szCs w:val="24"/>
          <w:lang w:val="es-AR" w:eastAsia="es-ES"/>
        </w:rPr>
      </w:pPr>
    </w:p>
    <w:p w14:paraId="75C221A0">
      <w:pPr>
        <w:spacing w:after="0" w:line="240" w:lineRule="auto"/>
        <w:jc w:val="both"/>
        <w:rPr>
          <w:rFonts w:ascii="Arial" w:hAnsi="Arial" w:eastAsia="Times New Roman" w:cs="Arial"/>
          <w:b/>
          <w:bCs/>
          <w:sz w:val="24"/>
          <w:szCs w:val="24"/>
          <w:lang w:val="es-AR" w:eastAsia="es-ES"/>
        </w:rPr>
      </w:pPr>
      <w:r>
        <w:rPr>
          <w:rFonts w:ascii="Arial" w:hAnsi="Arial" w:eastAsia="Times New Roman" w:cs="Arial"/>
          <w:b/>
          <w:bCs/>
          <w:sz w:val="24"/>
          <w:szCs w:val="24"/>
          <w:lang w:val="es-AR" w:eastAsia="es-ES"/>
        </w:rPr>
        <w:t>CUDAP: TRAMITE_FCF-MGE: 0000690/2026</w:t>
      </w:r>
    </w:p>
    <w:p w14:paraId="46CA0DD9">
      <w:pPr>
        <w:spacing w:after="0" w:line="240" w:lineRule="auto"/>
        <w:jc w:val="both"/>
        <w:rPr>
          <w:rFonts w:ascii="Arial" w:hAnsi="Arial" w:eastAsia="Times New Roman" w:cs="Arial"/>
          <w:b/>
          <w:bCs/>
          <w:sz w:val="24"/>
          <w:szCs w:val="24"/>
          <w:lang w:val="es-AR" w:eastAsia="es-ES"/>
        </w:rPr>
      </w:pPr>
      <w:r>
        <w:rPr>
          <w:rFonts w:ascii="Arial" w:hAnsi="Arial" w:eastAsia="Times New Roman" w:cs="Arial"/>
          <w:b/>
          <w:bCs/>
          <w:sz w:val="24"/>
          <w:szCs w:val="24"/>
          <w:lang w:val="es-AR" w:eastAsia="es-ES"/>
        </w:rPr>
        <w:t xml:space="preserve"> </w:t>
      </w:r>
    </w:p>
    <w:p w14:paraId="78D719F5">
      <w:pPr>
        <w:spacing w:after="0" w:line="240" w:lineRule="auto"/>
        <w:jc w:val="both"/>
        <w:rPr>
          <w:rFonts w:ascii="Arial" w:hAnsi="Arial" w:eastAsia="Times New Roman" w:cs="Arial"/>
          <w:b/>
          <w:bCs/>
          <w:sz w:val="24"/>
          <w:szCs w:val="24"/>
          <w:lang w:val="es-AR" w:eastAsia="es-ES"/>
        </w:rPr>
      </w:pPr>
      <w:r>
        <w:rPr>
          <w:rFonts w:ascii="Arial" w:hAnsi="Arial" w:eastAsia="Times New Roman" w:cs="Arial"/>
          <w:b/>
          <w:bCs/>
          <w:sz w:val="24"/>
          <w:szCs w:val="24"/>
          <w:lang w:val="es-AR" w:eastAsia="es-ES"/>
        </w:rPr>
        <w:t>V I S T O:</w:t>
      </w:r>
    </w:p>
    <w:p w14:paraId="0D6DB24E">
      <w:pPr>
        <w:spacing w:after="0" w:line="240" w:lineRule="auto"/>
        <w:ind w:firstLine="1134"/>
        <w:jc w:val="both"/>
        <w:rPr>
          <w:rFonts w:ascii="Arial" w:hAnsi="Arial" w:eastAsia="Times New Roman" w:cs="Arial"/>
          <w:color w:val="000000"/>
          <w:sz w:val="24"/>
          <w:szCs w:val="24"/>
          <w:lang w:val="es-ES" w:eastAsia="es-ES"/>
        </w:rPr>
      </w:pPr>
    </w:p>
    <w:p w14:paraId="1F125886">
      <w:pPr>
        <w:spacing w:after="0" w:line="240" w:lineRule="auto"/>
        <w:ind w:firstLine="1134"/>
        <w:jc w:val="both"/>
        <w:rPr>
          <w:rFonts w:ascii="Times New Roman" w:hAnsi="Times New Roman" w:eastAsia="Times New Roman"/>
          <w:sz w:val="24"/>
          <w:szCs w:val="24"/>
          <w:lang w:val="es-ES" w:eastAsia="es-ES"/>
        </w:rPr>
      </w:pPr>
      <w:r>
        <w:rPr>
          <w:rFonts w:ascii="Arial" w:hAnsi="Arial" w:eastAsia="Times New Roman" w:cs="Arial"/>
          <w:color w:val="000000"/>
          <w:sz w:val="24"/>
          <w:szCs w:val="24"/>
          <w:lang w:val="es-ES" w:eastAsia="es-ES"/>
        </w:rPr>
        <w:t>El trámite de referencia, presentado por la Sra. Secretaria de Posgrado de la Facultad de Ciencias Forestales, Dra. María Gracia Senilliani; y,</w:t>
      </w:r>
    </w:p>
    <w:p w14:paraId="0F1417B8">
      <w:pPr>
        <w:spacing w:after="0" w:line="240" w:lineRule="auto"/>
        <w:jc w:val="both"/>
        <w:rPr>
          <w:rFonts w:ascii="Times New Roman" w:hAnsi="Times New Roman" w:eastAsia="Times New Roman"/>
          <w:sz w:val="24"/>
          <w:szCs w:val="24"/>
          <w:lang w:val="es-ES" w:eastAsia="es-ES"/>
        </w:rPr>
      </w:pPr>
    </w:p>
    <w:p w14:paraId="0AA051A0">
      <w:pPr>
        <w:spacing w:after="0" w:line="240" w:lineRule="auto"/>
        <w:jc w:val="both"/>
        <w:rPr>
          <w:rFonts w:ascii="Times New Roman" w:hAnsi="Times New Roman" w:eastAsia="Times New Roman"/>
          <w:sz w:val="24"/>
          <w:szCs w:val="24"/>
          <w:lang w:val="es-ES" w:eastAsia="es-ES"/>
        </w:rPr>
      </w:pPr>
      <w:r>
        <w:rPr>
          <w:rFonts w:ascii="Arial" w:hAnsi="Arial" w:eastAsia="Times New Roman" w:cs="Arial"/>
          <w:b/>
          <w:bCs/>
          <w:color w:val="000000"/>
          <w:sz w:val="24"/>
          <w:szCs w:val="24"/>
          <w:lang w:val="es-ES" w:eastAsia="es-ES"/>
        </w:rPr>
        <w:t>CONSIDERANDO:</w:t>
      </w:r>
    </w:p>
    <w:p w14:paraId="7E68FD8C">
      <w:pPr>
        <w:spacing w:after="0" w:line="240" w:lineRule="auto"/>
        <w:ind w:firstLine="1134"/>
        <w:jc w:val="both"/>
        <w:rPr>
          <w:rFonts w:ascii="Arial" w:hAnsi="Arial" w:eastAsia="Times New Roman" w:cs="Arial"/>
          <w:color w:val="000000"/>
          <w:sz w:val="24"/>
          <w:szCs w:val="24"/>
          <w:lang w:val="es-ES" w:eastAsia="es-ES"/>
        </w:rPr>
      </w:pPr>
    </w:p>
    <w:p w14:paraId="74F074A8">
      <w:pPr>
        <w:spacing w:after="0" w:line="240" w:lineRule="auto"/>
        <w:ind w:firstLine="1134"/>
        <w:jc w:val="both"/>
        <w:rPr>
          <w:rFonts w:ascii="Arial" w:hAnsi="Arial" w:eastAsia="Times New Roman" w:cs="Arial"/>
          <w:color w:val="000000"/>
          <w:sz w:val="24"/>
          <w:szCs w:val="24"/>
          <w:lang w:val="es-ES" w:eastAsia="es-ES"/>
        </w:rPr>
      </w:pPr>
      <w:r>
        <w:rPr>
          <w:rFonts w:ascii="Arial" w:hAnsi="Arial" w:eastAsia="Times New Roman" w:cs="Arial"/>
          <w:color w:val="000000"/>
          <w:sz w:val="24"/>
          <w:szCs w:val="24"/>
          <w:lang w:val="es-ES" w:eastAsia="es-ES"/>
        </w:rPr>
        <w:t>Que mediante el mismo se dirige a la Secretaría Académica a fin de solicitar la Rectificación de la Resolución CD FCF Nº 151/2026 donde se aprueba el dictado del Curso de Posgrado titulado “</w:t>
      </w:r>
      <w:r>
        <w:rPr>
          <w:rFonts w:ascii="Arial" w:hAnsi="Arial" w:eastAsia="Times New Roman" w:cs="Arial"/>
          <w:b/>
          <w:i/>
          <w:color w:val="000000"/>
          <w:sz w:val="24"/>
          <w:szCs w:val="24"/>
          <w:lang w:val="es-ES" w:eastAsia="es-ES"/>
        </w:rPr>
        <w:t>Silvicultura, restauración y manejo sostenible de bosques</w:t>
      </w:r>
      <w:r>
        <w:rPr>
          <w:rFonts w:ascii="Arial" w:hAnsi="Arial" w:eastAsia="Times New Roman" w:cs="Arial"/>
          <w:color w:val="000000"/>
          <w:sz w:val="24"/>
          <w:szCs w:val="24"/>
          <w:lang w:val="es-ES" w:eastAsia="es-ES"/>
        </w:rPr>
        <w:t>”, programado para dictarse en el mes de septiembre del año 2026, el que estará a cargo de la Dra. María Gracia Senilliani y del Dr. Luis Ritter y con la colaboración de la Dra. Analía Guzmán y la Dra. Magdalena Abt.</w:t>
      </w:r>
    </w:p>
    <w:p w14:paraId="4285A3BF">
      <w:pPr>
        <w:spacing w:after="0" w:line="240" w:lineRule="auto"/>
        <w:ind w:firstLine="1134"/>
        <w:jc w:val="both"/>
        <w:rPr>
          <w:rFonts w:ascii="Arial" w:hAnsi="Arial" w:eastAsia="Times New Roman" w:cs="Arial"/>
          <w:color w:val="000000"/>
          <w:sz w:val="24"/>
          <w:szCs w:val="24"/>
          <w:lang w:val="es-ES" w:eastAsia="es-ES"/>
        </w:rPr>
      </w:pPr>
    </w:p>
    <w:p w14:paraId="17BC2227">
      <w:pPr>
        <w:spacing w:after="0" w:line="240" w:lineRule="auto"/>
        <w:ind w:firstLine="1134"/>
        <w:jc w:val="both"/>
        <w:rPr>
          <w:rFonts w:ascii="Arial" w:hAnsi="Arial" w:eastAsia="Times New Roman" w:cs="Arial"/>
          <w:color w:val="000000"/>
          <w:sz w:val="24"/>
          <w:szCs w:val="24"/>
          <w:lang w:val="es-ES" w:eastAsia="es-ES"/>
        </w:rPr>
      </w:pPr>
      <w:r>
        <w:rPr>
          <w:rFonts w:ascii="Arial" w:hAnsi="Arial" w:eastAsia="Times New Roman" w:cs="Arial"/>
          <w:color w:val="000000"/>
          <w:sz w:val="24"/>
          <w:szCs w:val="24"/>
          <w:lang w:val="es-ES" w:eastAsia="es-ES"/>
        </w:rPr>
        <w:t>Que en la elevación del Curso se omitió mencionar que el mismo tendría carácter interinstitucional.</w:t>
      </w:r>
    </w:p>
    <w:p w14:paraId="1FFA049C">
      <w:pPr>
        <w:spacing w:after="0" w:line="240" w:lineRule="auto"/>
        <w:ind w:firstLine="1134"/>
        <w:jc w:val="both"/>
        <w:rPr>
          <w:rFonts w:ascii="Arial" w:hAnsi="Arial" w:eastAsia="Times New Roman" w:cs="Arial"/>
          <w:color w:val="000000"/>
          <w:sz w:val="24"/>
          <w:szCs w:val="24"/>
          <w:lang w:val="es-ES" w:eastAsia="es-ES"/>
        </w:rPr>
      </w:pPr>
    </w:p>
    <w:p w14:paraId="6AE20478">
      <w:pPr>
        <w:spacing w:after="0" w:line="240" w:lineRule="auto"/>
        <w:ind w:firstLine="1134"/>
        <w:jc w:val="both"/>
        <w:rPr>
          <w:rFonts w:ascii="Arial" w:hAnsi="Arial" w:eastAsia="Times New Roman" w:cs="Arial"/>
          <w:color w:val="000000"/>
          <w:sz w:val="24"/>
          <w:szCs w:val="24"/>
          <w:lang w:val="es-ES" w:eastAsia="es-ES"/>
        </w:rPr>
      </w:pPr>
      <w:r>
        <w:rPr>
          <w:rFonts w:ascii="Arial" w:hAnsi="Arial" w:eastAsia="Times New Roman" w:cs="Arial"/>
          <w:color w:val="000000"/>
          <w:sz w:val="24"/>
          <w:szCs w:val="24"/>
          <w:lang w:val="es-ES" w:eastAsia="es-ES"/>
        </w:rPr>
        <w:t>Que el curso de posgrado interinstitucional titulado “</w:t>
      </w:r>
      <w:r>
        <w:rPr>
          <w:rFonts w:ascii="Arial" w:hAnsi="Arial" w:eastAsia="Times New Roman" w:cs="Arial"/>
          <w:b/>
          <w:i/>
          <w:color w:val="000000"/>
          <w:sz w:val="24"/>
          <w:szCs w:val="24"/>
          <w:lang w:val="es-ES" w:eastAsia="es-ES"/>
        </w:rPr>
        <w:t>Silvicultura, restauración y manejo sostenible de bosques</w:t>
      </w:r>
      <w:r>
        <w:rPr>
          <w:rFonts w:ascii="Arial" w:hAnsi="Arial" w:eastAsia="Times New Roman" w:cs="Arial"/>
          <w:color w:val="000000"/>
          <w:sz w:val="24"/>
          <w:szCs w:val="24"/>
          <w:lang w:val="es-ES" w:eastAsia="es-ES"/>
        </w:rPr>
        <w:t>” estará a cargo de las Facultades de Ciencias Forestales de la Universidad Nacional de Misiones y de la Universidad Nacional de Santiago del Estero, cuyo dictado se realizará bajo el marco institucional que otorga la firma del “Acta Complementaria Nº 2 de Cooperación Académica y dictado del curso interinstitucional” (Resolución CD FCF Nº 161/2026).</w:t>
      </w:r>
    </w:p>
    <w:p w14:paraId="6A9D4987">
      <w:pPr>
        <w:spacing w:after="0" w:line="240" w:lineRule="auto"/>
        <w:ind w:firstLine="1134"/>
        <w:jc w:val="both"/>
        <w:rPr>
          <w:rFonts w:ascii="Arial" w:hAnsi="Arial" w:eastAsia="Times New Roman" w:cs="Arial"/>
          <w:color w:val="000000"/>
          <w:sz w:val="24"/>
          <w:szCs w:val="24"/>
          <w:lang w:val="es-ES" w:eastAsia="es-ES"/>
        </w:rPr>
      </w:pPr>
    </w:p>
    <w:p w14:paraId="6D479029">
      <w:pPr>
        <w:spacing w:after="0" w:line="240" w:lineRule="auto"/>
        <w:ind w:firstLine="1134"/>
        <w:jc w:val="both"/>
        <w:rPr>
          <w:rFonts w:ascii="Arial" w:hAnsi="Arial" w:eastAsia="Times New Roman" w:cs="Arial"/>
          <w:color w:val="000000"/>
          <w:sz w:val="24"/>
          <w:szCs w:val="24"/>
          <w:lang w:val="es-ES" w:eastAsia="es-ES"/>
        </w:rPr>
      </w:pPr>
      <w:r>
        <w:rPr>
          <w:rFonts w:ascii="Arial" w:hAnsi="Arial" w:eastAsia="Times New Roman" w:cs="Arial"/>
          <w:color w:val="000000"/>
          <w:sz w:val="24"/>
          <w:szCs w:val="24"/>
          <w:lang w:val="es-ES" w:eastAsia="es-ES"/>
        </w:rPr>
        <w:t>Que el curso tendrá una duración de 40 horas y otorgará un puntaje de 4 créditos.</w:t>
      </w:r>
    </w:p>
    <w:p w14:paraId="006D6BA7">
      <w:pPr>
        <w:spacing w:after="0" w:line="240" w:lineRule="auto"/>
        <w:ind w:firstLine="1134"/>
        <w:jc w:val="both"/>
        <w:rPr>
          <w:rFonts w:ascii="Arial" w:hAnsi="Arial" w:eastAsia="Times New Roman" w:cs="Arial"/>
          <w:color w:val="000000"/>
          <w:sz w:val="24"/>
          <w:szCs w:val="24"/>
          <w:lang w:val="es-ES" w:eastAsia="es-ES"/>
        </w:rPr>
      </w:pPr>
    </w:p>
    <w:p w14:paraId="27BEF70D">
      <w:pPr>
        <w:pStyle w:val="13"/>
        <w:spacing w:before="0" w:beforeAutospacing="0" w:after="0" w:afterAutospacing="0"/>
        <w:ind w:firstLine="1134"/>
        <w:jc w:val="both"/>
      </w:pPr>
      <w:r>
        <w:rPr>
          <w:rFonts w:ascii="Arial" w:hAnsi="Arial" w:eastAsia="Calibri" w:cs="Arial"/>
          <w:lang w:eastAsia="en-US"/>
        </w:rPr>
        <w:t>Que el Honorable Consejo Directivo</w:t>
      </w:r>
      <w:r>
        <w:rPr>
          <w:rFonts w:ascii="Arial" w:hAnsi="Arial" w:eastAsia="Calibri" w:cs="Arial"/>
          <w:lang w:val="es-AR" w:eastAsia="en-US"/>
        </w:rPr>
        <w:t>, en Reunión Ordinaria Nº 9, de fecha 11 de agosto del corriente año, ha tomado</w:t>
      </w:r>
      <w:r>
        <w:rPr>
          <w:rFonts w:ascii="Arial" w:hAnsi="Arial" w:cs="Arial"/>
          <w:color w:val="000000"/>
        </w:rPr>
        <w:t xml:space="preserve"> conocimiento, y ha decidido aprobar lo solicitado.</w:t>
      </w:r>
    </w:p>
    <w:p w14:paraId="5E941DC5">
      <w:pPr>
        <w:pStyle w:val="13"/>
        <w:spacing w:before="0" w:beforeAutospacing="0" w:after="0" w:afterAutospacing="0"/>
        <w:jc w:val="both"/>
        <w:rPr>
          <w:rFonts w:ascii="Arial" w:hAnsi="Arial" w:cs="Arial"/>
          <w:color w:val="000000"/>
        </w:rPr>
      </w:pPr>
    </w:p>
    <w:p w14:paraId="453A6026">
      <w:pPr>
        <w:widowControl w:val="0"/>
        <w:autoSpaceDE w:val="0"/>
        <w:autoSpaceDN w:val="0"/>
        <w:adjustRightInd w:val="0"/>
        <w:spacing w:after="0" w:line="240" w:lineRule="auto"/>
        <w:jc w:val="both"/>
        <w:rPr>
          <w:rFonts w:ascii="Arial" w:hAnsi="Arial" w:cs="Arial"/>
          <w:sz w:val="24"/>
          <w:szCs w:val="24"/>
          <w:lang w:val="es-AR"/>
        </w:rPr>
      </w:pPr>
      <w:r>
        <w:rPr>
          <w:rFonts w:ascii="Arial" w:hAnsi="Arial" w:cs="Arial"/>
          <w:sz w:val="24"/>
          <w:szCs w:val="24"/>
          <w:lang w:val="es-AR"/>
        </w:rPr>
        <w:t xml:space="preserve">POR ELLO, </w:t>
      </w:r>
    </w:p>
    <w:p w14:paraId="79E26C6D">
      <w:pPr>
        <w:widowControl w:val="0"/>
        <w:autoSpaceDE w:val="0"/>
        <w:autoSpaceDN w:val="0"/>
        <w:adjustRightInd w:val="0"/>
        <w:spacing w:after="0" w:line="240" w:lineRule="auto"/>
        <w:jc w:val="both"/>
        <w:rPr>
          <w:rFonts w:ascii="Arial" w:hAnsi="Arial" w:cs="Arial"/>
          <w:sz w:val="24"/>
          <w:szCs w:val="24"/>
          <w:lang w:val="es-AR"/>
        </w:rPr>
      </w:pPr>
    </w:p>
    <w:p w14:paraId="12FA5120">
      <w:pPr>
        <w:spacing w:after="0" w:line="240" w:lineRule="auto"/>
        <w:jc w:val="both"/>
        <w:rPr>
          <w:rFonts w:ascii="Arial" w:hAnsi="Arial" w:cs="Arial"/>
          <w:i/>
          <w:sz w:val="16"/>
          <w:szCs w:val="16"/>
          <w:lang w:val="es-ES"/>
        </w:rPr>
      </w:pPr>
      <w:r>
        <w:rPr>
          <w:rFonts w:ascii="Arial" w:hAnsi="Arial" w:cs="Arial"/>
          <w:i/>
          <w:sz w:val="16"/>
          <w:szCs w:val="16"/>
          <w:lang w:val="es-ES"/>
        </w:rPr>
        <w:br w:type="page"/>
      </w:r>
    </w:p>
    <w:p w14:paraId="699319AF">
      <w:pPr>
        <w:spacing w:after="0" w:line="240" w:lineRule="auto"/>
        <w:jc w:val="both"/>
        <w:rPr>
          <w:rFonts w:cs="Arial"/>
          <w:b/>
          <w:bCs/>
          <w:sz w:val="24"/>
          <w:lang w:val="es-ES"/>
        </w:rPr>
        <w:sectPr>
          <w:headerReference r:id="rId5" w:type="default"/>
          <w:pgSz w:w="11907" w:h="16839"/>
          <w:pgMar w:top="1843" w:right="1701" w:bottom="1418" w:left="1701" w:header="624" w:footer="709" w:gutter="0"/>
          <w:cols w:space="708" w:num="1"/>
          <w:docGrid w:linePitch="360" w:charSpace="0"/>
        </w:sectPr>
      </w:pPr>
    </w:p>
    <w:p w14:paraId="24E55511">
      <w:pPr>
        <w:widowControl w:val="0"/>
        <w:autoSpaceDE w:val="0"/>
        <w:autoSpaceDN w:val="0"/>
        <w:adjustRightInd w:val="0"/>
        <w:spacing w:after="0" w:line="240" w:lineRule="auto"/>
        <w:jc w:val="center"/>
        <w:rPr>
          <w:rFonts w:ascii="Arial" w:hAnsi="Arial" w:cs="Arial"/>
          <w:b/>
          <w:bCs/>
          <w:sz w:val="24"/>
          <w:szCs w:val="24"/>
          <w:lang w:val="es-AR"/>
        </w:rPr>
      </w:pPr>
      <w:r>
        <w:rPr>
          <w:rFonts w:ascii="Arial" w:hAnsi="Arial" w:cs="Arial"/>
          <w:b/>
          <w:bCs/>
          <w:sz w:val="24"/>
          <w:szCs w:val="24"/>
          <w:lang w:val="es-AR"/>
        </w:rPr>
        <w:t>EL HONORABLE CONSEJO DIRECTIVO DE LA</w:t>
      </w:r>
    </w:p>
    <w:p w14:paraId="3572E2F1">
      <w:pPr>
        <w:keepNext/>
        <w:spacing w:after="0" w:line="240" w:lineRule="auto"/>
        <w:jc w:val="center"/>
        <w:outlineLvl w:val="0"/>
        <w:rPr>
          <w:rFonts w:ascii="Arial" w:hAnsi="Arial" w:cs="Arial"/>
          <w:b/>
          <w:sz w:val="24"/>
          <w:szCs w:val="24"/>
          <w:lang w:val="pt-BR"/>
        </w:rPr>
      </w:pPr>
      <w:r>
        <w:rPr>
          <w:rFonts w:ascii="Arial" w:hAnsi="Arial" w:cs="Arial"/>
          <w:b/>
          <w:sz w:val="24"/>
          <w:szCs w:val="24"/>
          <w:lang w:val="pt-BR"/>
        </w:rPr>
        <w:t>FACULTAD DE CIENCIAS FORESTALES</w:t>
      </w:r>
    </w:p>
    <w:p w14:paraId="45477685">
      <w:pPr>
        <w:widowControl w:val="0"/>
        <w:autoSpaceDE w:val="0"/>
        <w:autoSpaceDN w:val="0"/>
        <w:adjustRightInd w:val="0"/>
        <w:spacing w:after="0" w:line="240" w:lineRule="auto"/>
        <w:jc w:val="center"/>
        <w:rPr>
          <w:rFonts w:ascii="Arial" w:hAnsi="Arial" w:cs="Arial"/>
          <w:b/>
          <w:bCs/>
          <w:sz w:val="24"/>
          <w:szCs w:val="24"/>
          <w:lang w:val="pt-BR"/>
        </w:rPr>
      </w:pPr>
      <w:r>
        <w:rPr>
          <w:rFonts w:ascii="Arial" w:hAnsi="Arial" w:cs="Arial"/>
          <w:b/>
          <w:bCs/>
          <w:sz w:val="24"/>
          <w:szCs w:val="24"/>
          <w:lang w:val="pt-BR"/>
        </w:rPr>
        <w:t>R E S U E L V E:</w:t>
      </w:r>
    </w:p>
    <w:p w14:paraId="3151D8A6">
      <w:pPr>
        <w:widowControl w:val="0"/>
        <w:autoSpaceDE w:val="0"/>
        <w:autoSpaceDN w:val="0"/>
        <w:adjustRightInd w:val="0"/>
        <w:spacing w:after="0" w:line="240" w:lineRule="auto"/>
        <w:jc w:val="center"/>
        <w:rPr>
          <w:rFonts w:ascii="Arial" w:hAnsi="Arial" w:cs="Arial"/>
          <w:b/>
          <w:bCs/>
          <w:sz w:val="24"/>
          <w:szCs w:val="24"/>
          <w:lang w:val="pt-BR"/>
        </w:rPr>
      </w:pPr>
    </w:p>
    <w:p w14:paraId="273CA7DF">
      <w:pPr>
        <w:spacing w:after="0" w:line="240" w:lineRule="auto"/>
        <w:jc w:val="both"/>
        <w:rPr>
          <w:rFonts w:ascii="Arial" w:hAnsi="Arial" w:eastAsia="Times New Roman" w:cs="Arial"/>
          <w:sz w:val="24"/>
          <w:szCs w:val="24"/>
          <w:lang w:val="es-ES" w:eastAsia="es-ES"/>
        </w:rPr>
      </w:pPr>
      <w:r>
        <w:rPr>
          <w:rFonts w:ascii="Arial" w:hAnsi="Arial" w:eastAsia="Times New Roman" w:cs="Arial"/>
          <w:b/>
          <w:bCs/>
          <w:color w:val="000000"/>
          <w:sz w:val="24"/>
          <w:szCs w:val="24"/>
          <w:lang w:val="es-ES" w:eastAsia="es-ES"/>
        </w:rPr>
        <w:t>ARTÍCULO 1.</w:t>
      </w:r>
      <w:r>
        <w:rPr>
          <w:rFonts w:ascii="Arial" w:hAnsi="Arial" w:eastAsia="Times New Roman" w:cs="Arial"/>
          <w:color w:val="000000"/>
          <w:sz w:val="24"/>
          <w:szCs w:val="24"/>
          <w:lang w:val="es-ES" w:eastAsia="es-ES"/>
        </w:rPr>
        <w:t xml:space="preserve"> Rectificar la Resolución CD FCF Nº 151/2026 y aprobar el dictado del Curso de Posgrado Interinstitucional “</w:t>
      </w:r>
      <w:r>
        <w:rPr>
          <w:rFonts w:ascii="Arial" w:hAnsi="Arial" w:eastAsia="Times New Roman" w:cs="Arial"/>
          <w:b/>
          <w:i/>
          <w:color w:val="000000"/>
          <w:sz w:val="24"/>
          <w:szCs w:val="24"/>
          <w:lang w:val="es-ES" w:eastAsia="es-ES"/>
        </w:rPr>
        <w:t>Silvicultura, restauración y manejo sostenible de bosques</w:t>
      </w:r>
      <w:r>
        <w:rPr>
          <w:rFonts w:ascii="Arial" w:hAnsi="Arial" w:eastAsia="Times New Roman" w:cs="Arial"/>
          <w:color w:val="000000"/>
          <w:sz w:val="24"/>
          <w:szCs w:val="24"/>
          <w:lang w:val="es-ES" w:eastAsia="es-ES"/>
        </w:rPr>
        <w:t>”, programado para dictarse en el mes de septiembre del año 2026</w:t>
      </w:r>
      <w:r>
        <w:rPr>
          <w:rFonts w:ascii="Arial" w:hAnsi="Arial" w:eastAsia="Times New Roman" w:cs="Arial"/>
          <w:sz w:val="24"/>
          <w:szCs w:val="24"/>
          <w:lang w:val="es-AR" w:eastAsia="es-ES"/>
        </w:rPr>
        <w:t xml:space="preserve">, </w:t>
      </w:r>
      <w:r>
        <w:rPr>
          <w:rFonts w:ascii="Arial" w:hAnsi="Arial" w:eastAsia="Times New Roman" w:cs="Arial"/>
          <w:sz w:val="24"/>
          <w:szCs w:val="24"/>
          <w:lang w:val="es-ES" w:eastAsia="es-ES"/>
        </w:rPr>
        <w:t>para la Maestría en Manejo Forestal y Desarrollo Local y el Doctorado en Ciencias y Tecnologías Forestales,</w:t>
      </w:r>
      <w:r>
        <w:rPr>
          <w:rFonts w:ascii="Arial" w:hAnsi="Arial" w:eastAsia="Times New Roman" w:cs="Arial"/>
          <w:sz w:val="24"/>
          <w:szCs w:val="24"/>
          <w:lang w:val="es-AR" w:eastAsia="es-ES"/>
        </w:rPr>
        <w:t xml:space="preserve"> el que estará a cargo </w:t>
      </w:r>
      <w:r>
        <w:rPr>
          <w:rFonts w:ascii="Arial" w:hAnsi="Arial" w:eastAsia="Times New Roman" w:cs="Arial"/>
          <w:color w:val="000000"/>
          <w:sz w:val="24"/>
          <w:szCs w:val="24"/>
          <w:lang w:val="es-ES" w:eastAsia="es-ES"/>
        </w:rPr>
        <w:t>de la Dra. María Gracia Senilliani y del Dr. Luis Ritter y con la colaboración de la Dra. Analía Guzmán y la Dra. Magdalena Abt</w:t>
      </w:r>
      <w:r>
        <w:rPr>
          <w:rFonts w:ascii="Arial" w:hAnsi="Arial" w:eastAsia="Times New Roman" w:cs="Arial"/>
          <w:sz w:val="24"/>
          <w:szCs w:val="24"/>
          <w:lang w:val="es-ES" w:eastAsia="es-ES"/>
        </w:rPr>
        <w:t>.</w:t>
      </w:r>
    </w:p>
    <w:p w14:paraId="06309FC8">
      <w:pPr>
        <w:spacing w:after="0" w:line="240" w:lineRule="auto"/>
        <w:jc w:val="both"/>
        <w:rPr>
          <w:rFonts w:ascii="Arial" w:hAnsi="Arial" w:eastAsia="Times New Roman" w:cs="Arial"/>
          <w:color w:val="000000"/>
          <w:sz w:val="24"/>
          <w:szCs w:val="24"/>
          <w:lang w:val="es-ES" w:eastAsia="es-ES"/>
        </w:rPr>
      </w:pPr>
    </w:p>
    <w:p w14:paraId="077FCDC5">
      <w:pPr>
        <w:spacing w:after="0" w:line="240" w:lineRule="auto"/>
        <w:jc w:val="both"/>
        <w:rPr>
          <w:rFonts w:ascii="Times New Roman" w:hAnsi="Times New Roman" w:eastAsia="Times New Roman"/>
          <w:sz w:val="24"/>
          <w:szCs w:val="24"/>
          <w:lang w:val="es-ES" w:eastAsia="es-ES"/>
        </w:rPr>
      </w:pPr>
      <w:r>
        <w:rPr>
          <w:rFonts w:ascii="Arial" w:hAnsi="Arial" w:eastAsia="Times New Roman" w:cs="Arial"/>
          <w:b/>
          <w:color w:val="000000"/>
          <w:sz w:val="24"/>
          <w:szCs w:val="24"/>
          <w:lang w:val="es-ES" w:eastAsia="es-ES"/>
        </w:rPr>
        <w:t>ARTÍCULO 2</w:t>
      </w:r>
      <w:r>
        <w:rPr>
          <w:rFonts w:ascii="Arial" w:hAnsi="Arial" w:eastAsia="Times New Roman" w:cs="Arial"/>
          <w:color w:val="000000"/>
          <w:sz w:val="24"/>
          <w:szCs w:val="24"/>
          <w:lang w:val="es-ES" w:eastAsia="es-ES"/>
        </w:rPr>
        <w:t>. Enviar copia a la Secretaría de Posgrado, a la Dra. María Gracia Senilliani, al Dr. Luis Ritter, a la Dra. Analía Guzmán y a la Dra. Magdalena Abt.</w:t>
      </w:r>
      <w:r>
        <w:rPr>
          <w:rFonts w:ascii="Arial" w:hAnsi="Arial" w:eastAsia="Times New Roman" w:cs="Arial"/>
          <w:sz w:val="24"/>
          <w:szCs w:val="24"/>
          <w:lang w:val="es-ES" w:eastAsia="es-ES"/>
        </w:rPr>
        <w:t xml:space="preserve"> </w:t>
      </w:r>
      <w:r>
        <w:rPr>
          <w:rFonts w:ascii="Arial" w:hAnsi="Arial" w:eastAsia="Times New Roman" w:cs="Arial"/>
          <w:color w:val="000000"/>
          <w:sz w:val="24"/>
          <w:szCs w:val="24"/>
          <w:lang w:val="es-ES" w:eastAsia="es-ES"/>
        </w:rPr>
        <w:t xml:space="preserve">Dar amplia difusión. Cumplido, archivar. </w:t>
      </w:r>
    </w:p>
    <w:p w14:paraId="5E22D76C">
      <w:pPr>
        <w:spacing w:after="0" w:line="240" w:lineRule="auto"/>
        <w:rPr>
          <w:rFonts w:ascii="Arial" w:hAnsi="Arial" w:cs="Arial"/>
          <w:b/>
          <w:bCs/>
          <w:sz w:val="24"/>
          <w:highlight w:val="yellow"/>
          <w:lang w:val="es-ES"/>
        </w:rPr>
      </w:pPr>
      <w:r>
        <w:rPr>
          <w:rFonts w:ascii="Arial" w:hAnsi="Arial" w:cs="Arial"/>
          <w:i/>
          <w:sz w:val="16"/>
          <w:szCs w:val="16"/>
          <w:lang w:val="es-ES"/>
        </w:rPr>
        <w:t>fbf</w:t>
      </w:r>
    </w:p>
    <w:p w14:paraId="6BB83ECA">
      <w:pPr>
        <w:spacing w:after="0" w:line="240" w:lineRule="auto"/>
        <w:rPr>
          <w:rFonts w:ascii="Arial" w:hAnsi="Arial" w:cs="Arial"/>
          <w:b/>
          <w:bCs/>
          <w:sz w:val="24"/>
          <w:highlight w:val="yellow"/>
          <w:lang w:val="es-ES"/>
        </w:rPr>
      </w:pPr>
      <w:r>
        <w:rPr>
          <w:rFonts w:ascii="Arial" w:hAnsi="Arial" w:cs="Arial"/>
          <w:b/>
          <w:bCs/>
          <w:sz w:val="24"/>
          <w:highlight w:val="yellow"/>
          <w:lang w:val="es-ES"/>
        </w:rPr>
        <w:br w:type="page"/>
      </w:r>
    </w:p>
    <w:p w14:paraId="084A6529">
      <w:pPr>
        <w:spacing w:after="0" w:line="240" w:lineRule="auto"/>
        <w:jc w:val="center"/>
        <w:rPr>
          <w:rFonts w:ascii="Arial" w:hAnsi="Arial" w:cs="Arial"/>
          <w:b/>
          <w:bCs/>
          <w:sz w:val="24"/>
          <w:highlight w:val="yellow"/>
          <w:lang w:val="es-ES"/>
        </w:rPr>
      </w:pPr>
    </w:p>
    <w:p w14:paraId="08199536">
      <w:pPr>
        <w:spacing w:after="0" w:line="240" w:lineRule="auto"/>
        <w:jc w:val="center"/>
        <w:rPr>
          <w:rFonts w:ascii="Arial" w:hAnsi="Arial" w:cs="Arial"/>
          <w:b/>
          <w:bCs/>
          <w:sz w:val="24"/>
          <w:lang w:val="es-ES"/>
        </w:rPr>
      </w:pPr>
      <w:r>
        <w:rPr>
          <w:rFonts w:ascii="Arial" w:hAnsi="Arial" w:cs="Arial"/>
          <w:b/>
          <w:bCs/>
          <w:sz w:val="24"/>
          <w:lang w:val="es-ES"/>
        </w:rPr>
        <w:t>A N E X O</w:t>
      </w:r>
    </w:p>
    <w:p w14:paraId="39DC792A">
      <w:pPr>
        <w:pStyle w:val="32"/>
        <w:jc w:val="center"/>
        <w:rPr>
          <w:rFonts w:ascii="Carlito" w:hAnsi="Carlito" w:eastAsia="Carlito" w:cs="Carlito"/>
          <w:color w:val="000000"/>
          <w:lang w:val="es-ES"/>
        </w:rPr>
      </w:pPr>
    </w:p>
    <w:p w14:paraId="761D0110">
      <w:pPr>
        <w:pStyle w:val="32"/>
        <w:jc w:val="center"/>
        <w:rPr>
          <w:rFonts w:ascii="Carlito" w:hAnsi="Carlito" w:eastAsia="Carlito" w:cs="Carlito"/>
          <w:color w:val="000000"/>
          <w:lang w:val="es-ES"/>
        </w:rPr>
      </w:pPr>
    </w:p>
    <w:p w14:paraId="413039FE">
      <w:pPr>
        <w:pStyle w:val="32"/>
        <w:jc w:val="center"/>
        <w:rPr>
          <w:rFonts w:ascii="Arial" w:hAnsi="Arial" w:eastAsia="Carlito" w:cs="Arial"/>
          <w:b/>
          <w:smallCaps/>
          <w:color w:val="000000"/>
          <w:lang w:val="es-ES"/>
        </w:rPr>
      </w:pPr>
      <w:r>
        <w:rPr>
          <w:rFonts w:ascii="Arial" w:hAnsi="Arial" w:eastAsia="Carlito" w:cs="Arial"/>
          <w:b/>
          <w:smallCaps/>
          <w:color w:val="000000"/>
          <w:lang w:val="es-ES"/>
        </w:rPr>
        <w:t>UNIVERSIDAD NACIONAL DE SANTIAGO DEL ESTERO</w:t>
      </w:r>
    </w:p>
    <w:p w14:paraId="2942D665">
      <w:pPr>
        <w:pStyle w:val="32"/>
        <w:jc w:val="center"/>
        <w:rPr>
          <w:rFonts w:ascii="Arial" w:hAnsi="Arial" w:eastAsia="Carlito" w:cs="Arial"/>
          <w:b/>
          <w:smallCaps/>
          <w:color w:val="000000"/>
          <w:lang w:val="es-ES"/>
        </w:rPr>
      </w:pPr>
    </w:p>
    <w:p w14:paraId="0E9218C3">
      <w:pPr>
        <w:pStyle w:val="32"/>
        <w:jc w:val="center"/>
        <w:rPr>
          <w:rFonts w:ascii="Arial" w:hAnsi="Arial" w:eastAsia="Carlito" w:cs="Arial"/>
          <w:b/>
          <w:smallCaps/>
          <w:color w:val="000000"/>
          <w:lang w:val="es-ES"/>
        </w:rPr>
      </w:pPr>
      <w:r>
        <w:rPr>
          <w:rFonts w:ascii="Arial" w:hAnsi="Arial" w:eastAsia="Carlito" w:cs="Arial"/>
          <w:b/>
          <w:smallCaps/>
          <w:color w:val="000000"/>
          <w:lang w:val="es-ES"/>
        </w:rPr>
        <w:t>FACULTAD DE CIENCIAS FORESTALES</w:t>
      </w:r>
    </w:p>
    <w:p w14:paraId="13595620">
      <w:pPr>
        <w:pStyle w:val="32"/>
        <w:jc w:val="center"/>
        <w:rPr>
          <w:rFonts w:ascii="Arial" w:hAnsi="Arial" w:eastAsia="Carlito" w:cs="Arial"/>
          <w:color w:val="000000"/>
          <w:lang w:val="es-ES"/>
        </w:rPr>
      </w:pPr>
    </w:p>
    <w:p w14:paraId="63AE78F4">
      <w:pPr>
        <w:pStyle w:val="32"/>
        <w:jc w:val="center"/>
        <w:rPr>
          <w:rFonts w:ascii="Arial" w:hAnsi="Arial" w:eastAsia="Carlito" w:cs="Arial"/>
          <w:color w:val="000000"/>
          <w:lang w:val="es-ES"/>
        </w:rPr>
      </w:pPr>
    </w:p>
    <w:p w14:paraId="46C6A934">
      <w:pPr>
        <w:pStyle w:val="32"/>
        <w:jc w:val="center"/>
        <w:rPr>
          <w:rFonts w:ascii="Arial" w:hAnsi="Arial" w:eastAsia="Carlito" w:cs="Arial"/>
          <w:color w:val="000000"/>
          <w:lang w:val="es-ES"/>
        </w:rPr>
      </w:pPr>
    </w:p>
    <w:p w14:paraId="371CC433">
      <w:pPr>
        <w:pStyle w:val="32"/>
        <w:jc w:val="center"/>
        <w:rPr>
          <w:rFonts w:ascii="Arial" w:hAnsi="Arial" w:eastAsia="Carlito" w:cs="Arial"/>
          <w:color w:val="000000"/>
          <w:lang w:val="es-ES"/>
        </w:rPr>
      </w:pPr>
    </w:p>
    <w:p w14:paraId="41C2F1A8">
      <w:pPr>
        <w:pStyle w:val="32"/>
        <w:jc w:val="center"/>
        <w:rPr>
          <w:rFonts w:ascii="Arial" w:hAnsi="Arial" w:eastAsia="Carlito" w:cs="Arial"/>
          <w:color w:val="000000"/>
          <w:lang w:val="es-ES"/>
        </w:rPr>
      </w:pPr>
    </w:p>
    <w:p w14:paraId="5138381E">
      <w:pPr>
        <w:pStyle w:val="32"/>
        <w:jc w:val="center"/>
        <w:rPr>
          <w:rFonts w:ascii="Arial" w:hAnsi="Arial" w:eastAsia="Carlito" w:cs="Arial"/>
          <w:b/>
          <w:smallCaps/>
          <w:color w:val="000000"/>
          <w:lang w:val="es-ES"/>
        </w:rPr>
      </w:pPr>
      <w:r>
        <w:rPr>
          <w:rFonts w:ascii="Arial" w:hAnsi="Arial" w:eastAsia="Carlito" w:cs="Arial"/>
          <w:b/>
          <w:smallCaps/>
          <w:color w:val="000000"/>
          <w:lang w:val="es-ES"/>
        </w:rPr>
        <w:t>CURSO DE POSGRADO INTERINSTITUCIONAL:</w:t>
      </w:r>
    </w:p>
    <w:p w14:paraId="354E3430">
      <w:pPr>
        <w:spacing w:after="0" w:line="240" w:lineRule="auto"/>
        <w:jc w:val="center"/>
        <w:rPr>
          <w:b/>
          <w:bCs/>
          <w:sz w:val="42"/>
          <w:szCs w:val="42"/>
          <w:lang w:val="es-AR"/>
        </w:rPr>
      </w:pPr>
      <w:r>
        <w:rPr>
          <w:b/>
          <w:bCs/>
          <w:sz w:val="42"/>
          <w:szCs w:val="42"/>
          <w:lang w:val="es-AR"/>
        </w:rPr>
        <w:t>Silvicultura, restauración y manejo sostenible de bosques</w:t>
      </w:r>
    </w:p>
    <w:p w14:paraId="3C92820F">
      <w:pPr>
        <w:spacing w:after="0" w:line="240" w:lineRule="auto"/>
        <w:ind w:left="1680" w:right="1685"/>
        <w:jc w:val="center"/>
        <w:rPr>
          <w:sz w:val="24"/>
          <w:szCs w:val="24"/>
          <w:lang w:val="es-AR"/>
        </w:rPr>
      </w:pPr>
      <w:r>
        <w:rPr>
          <w:sz w:val="24"/>
          <w:szCs w:val="24"/>
          <w:lang w:val="es-AR"/>
        </w:rPr>
        <w:t>Profesores responsables:</w:t>
      </w:r>
    </w:p>
    <w:p w14:paraId="7E1D6B1C">
      <w:pPr>
        <w:spacing w:after="0" w:line="240" w:lineRule="auto"/>
        <w:ind w:left="1680" w:right="1685"/>
        <w:jc w:val="center"/>
        <w:rPr>
          <w:sz w:val="24"/>
          <w:szCs w:val="24"/>
          <w:lang w:val="es-AR"/>
        </w:rPr>
      </w:pPr>
    </w:p>
    <w:p w14:paraId="1F0A342F">
      <w:pPr>
        <w:pStyle w:val="3"/>
        <w:spacing w:before="0" w:line="240" w:lineRule="auto"/>
        <w:ind w:hanging="687"/>
        <w:jc w:val="center"/>
        <w:rPr>
          <w:color w:val="auto"/>
          <w:lang w:val="es-AR"/>
        </w:rPr>
      </w:pPr>
      <w:r>
        <w:rPr>
          <w:color w:val="auto"/>
          <w:lang w:val="es-AR"/>
        </w:rPr>
        <w:t>Dra. Maria Gracia Senilliani y Dr. Luis Ritter</w:t>
      </w:r>
    </w:p>
    <w:p w14:paraId="3940FC70">
      <w:pPr>
        <w:spacing w:after="0" w:line="240" w:lineRule="auto"/>
        <w:rPr>
          <w:b/>
          <w:bCs/>
          <w:color w:val="000000"/>
          <w:sz w:val="32"/>
          <w:szCs w:val="32"/>
          <w:lang w:val="es-AR"/>
        </w:rPr>
      </w:pPr>
    </w:p>
    <w:p w14:paraId="20D53DC5">
      <w:pPr>
        <w:spacing w:after="0" w:line="240" w:lineRule="auto"/>
        <w:ind w:left="1680" w:right="1680"/>
        <w:jc w:val="center"/>
        <w:rPr>
          <w:sz w:val="24"/>
          <w:szCs w:val="24"/>
          <w:lang w:val="es-AR"/>
        </w:rPr>
      </w:pPr>
      <w:r>
        <w:rPr>
          <w:sz w:val="24"/>
          <w:szCs w:val="24"/>
          <w:lang w:val="es-AR"/>
        </w:rPr>
        <w:t>Septiembre 2026</w:t>
      </w:r>
    </w:p>
    <w:p w14:paraId="419184C4">
      <w:pPr>
        <w:spacing w:after="0" w:line="240" w:lineRule="auto"/>
        <w:rPr>
          <w:color w:val="000000"/>
          <w:sz w:val="24"/>
          <w:szCs w:val="24"/>
          <w:lang w:val="es-AR"/>
        </w:rPr>
      </w:pPr>
    </w:p>
    <w:p w14:paraId="7ED585D6">
      <w:pPr>
        <w:spacing w:after="0" w:line="240" w:lineRule="auto"/>
        <w:rPr>
          <w:color w:val="000000"/>
          <w:sz w:val="24"/>
          <w:szCs w:val="24"/>
          <w:lang w:val="es-AR"/>
        </w:rPr>
      </w:pPr>
    </w:p>
    <w:p w14:paraId="33152376">
      <w:pPr>
        <w:spacing w:after="0" w:line="240" w:lineRule="auto"/>
        <w:rPr>
          <w:color w:val="000000"/>
          <w:sz w:val="24"/>
          <w:szCs w:val="24"/>
          <w:lang w:val="es-AR"/>
        </w:rPr>
      </w:pPr>
    </w:p>
    <w:p w14:paraId="6D40C955">
      <w:pPr>
        <w:spacing w:after="0" w:line="240" w:lineRule="auto"/>
        <w:rPr>
          <w:color w:val="000000"/>
          <w:sz w:val="24"/>
          <w:szCs w:val="24"/>
          <w:lang w:val="es-AR"/>
        </w:rPr>
      </w:pPr>
    </w:p>
    <w:p w14:paraId="77B626D2">
      <w:pPr>
        <w:spacing w:after="0" w:line="240" w:lineRule="auto"/>
        <w:ind w:left="1680" w:right="1681"/>
        <w:jc w:val="center"/>
        <w:rPr>
          <w:sz w:val="24"/>
          <w:szCs w:val="24"/>
          <w:lang w:val="es-AR"/>
        </w:rPr>
      </w:pPr>
      <w:r>
        <w:rPr>
          <w:sz w:val="24"/>
          <w:szCs w:val="24"/>
          <w:lang w:val="es-AR"/>
        </w:rPr>
        <w:t>SANTIAGO DEL ESTERO</w:t>
      </w:r>
    </w:p>
    <w:p w14:paraId="55A4E364">
      <w:pPr>
        <w:spacing w:after="0" w:line="240" w:lineRule="auto"/>
        <w:rPr>
          <w:color w:val="000000"/>
          <w:sz w:val="24"/>
          <w:szCs w:val="20"/>
          <w:lang w:val="es-AR"/>
        </w:rPr>
      </w:pPr>
    </w:p>
    <w:p w14:paraId="3D421FAF">
      <w:pPr>
        <w:spacing w:after="0" w:line="240" w:lineRule="auto"/>
        <w:rPr>
          <w:color w:val="000000"/>
          <w:sz w:val="24"/>
          <w:szCs w:val="20"/>
          <w:lang w:val="es-AR"/>
        </w:rPr>
      </w:pPr>
    </w:p>
    <w:p w14:paraId="6F2F9063">
      <w:pPr>
        <w:spacing w:after="0" w:line="240" w:lineRule="auto"/>
        <w:rPr>
          <w:color w:val="000000"/>
          <w:sz w:val="24"/>
          <w:szCs w:val="20"/>
          <w:lang w:val="es-AR"/>
        </w:rPr>
      </w:pPr>
    </w:p>
    <w:p w14:paraId="4953EA18">
      <w:pPr>
        <w:spacing w:after="0" w:line="240" w:lineRule="auto"/>
        <w:rPr>
          <w:color w:val="000000"/>
          <w:sz w:val="24"/>
          <w:szCs w:val="20"/>
          <w:lang w:val="es-AR"/>
        </w:rPr>
      </w:pPr>
    </w:p>
    <w:p w14:paraId="7BD1CCF2">
      <w:pPr>
        <w:spacing w:after="0" w:line="240" w:lineRule="auto"/>
        <w:rPr>
          <w:color w:val="000000"/>
          <w:sz w:val="24"/>
          <w:szCs w:val="20"/>
          <w:lang w:val="es-AR"/>
        </w:rPr>
      </w:pPr>
    </w:p>
    <w:p w14:paraId="77899B46">
      <w:pPr>
        <w:spacing w:after="0" w:line="240" w:lineRule="auto"/>
        <w:rPr>
          <w:color w:val="000000"/>
          <w:sz w:val="24"/>
          <w:szCs w:val="20"/>
          <w:lang w:val="es-AR"/>
        </w:rPr>
      </w:pPr>
    </w:p>
    <w:p w14:paraId="7F69555D">
      <w:pPr>
        <w:spacing w:after="0" w:line="240" w:lineRule="auto"/>
        <w:rPr>
          <w:color w:val="000000"/>
          <w:sz w:val="24"/>
          <w:szCs w:val="20"/>
          <w:lang w:val="es-AR"/>
        </w:rPr>
      </w:pPr>
    </w:p>
    <w:p w14:paraId="4987A169">
      <w:pPr>
        <w:spacing w:after="0" w:line="240" w:lineRule="auto"/>
        <w:rPr>
          <w:color w:val="000000"/>
          <w:sz w:val="24"/>
          <w:szCs w:val="20"/>
          <w:lang w:val="es-AR"/>
        </w:rPr>
      </w:pPr>
    </w:p>
    <w:p w14:paraId="7C332024">
      <w:pPr>
        <w:spacing w:after="0" w:line="240" w:lineRule="auto"/>
        <w:rPr>
          <w:color w:val="000000"/>
          <w:sz w:val="24"/>
          <w:szCs w:val="20"/>
          <w:lang w:val="es-AR"/>
        </w:rPr>
      </w:pPr>
    </w:p>
    <w:p w14:paraId="4ACFBE06">
      <w:pPr>
        <w:spacing w:after="0" w:line="240" w:lineRule="auto"/>
        <w:rPr>
          <w:color w:val="000000"/>
          <w:sz w:val="24"/>
          <w:szCs w:val="20"/>
          <w:lang w:val="es-AR"/>
        </w:rPr>
      </w:pPr>
    </w:p>
    <w:p w14:paraId="2F9E304C">
      <w:pPr>
        <w:spacing w:after="0" w:line="240" w:lineRule="auto"/>
        <w:rPr>
          <w:color w:val="000000"/>
          <w:sz w:val="24"/>
          <w:szCs w:val="20"/>
          <w:lang w:val="es-AR"/>
        </w:rPr>
      </w:pPr>
    </w:p>
    <w:p w14:paraId="2969A152">
      <w:pPr>
        <w:spacing w:after="0" w:line="240" w:lineRule="auto"/>
        <w:rPr>
          <w:color w:val="000000"/>
          <w:sz w:val="24"/>
          <w:szCs w:val="20"/>
          <w:lang w:val="es-AR"/>
        </w:rPr>
      </w:pPr>
    </w:p>
    <w:p w14:paraId="75E93441">
      <w:pPr>
        <w:spacing w:after="0" w:line="240" w:lineRule="auto"/>
        <w:rPr>
          <w:color w:val="000000"/>
          <w:sz w:val="24"/>
          <w:szCs w:val="20"/>
          <w:lang w:val="es-AR"/>
        </w:rPr>
      </w:pPr>
    </w:p>
    <w:p w14:paraId="57A938B2">
      <w:pPr>
        <w:spacing w:after="0" w:line="240" w:lineRule="auto"/>
        <w:rPr>
          <w:color w:val="000000"/>
          <w:sz w:val="20"/>
          <w:szCs w:val="20"/>
          <w:lang w:val="es-AR"/>
        </w:rPr>
      </w:pPr>
      <w:r>
        <w:rPr>
          <w:color w:val="000000"/>
          <w:sz w:val="20"/>
          <w:szCs w:val="20"/>
          <w:lang w:val="es-AR" w:eastAsia="es-AR"/>
        </w:rPr>
        <mc:AlternateContent>
          <mc:Choice Requires="wps">
            <w:drawing>
              <wp:anchor distT="0" distB="0" distL="0" distR="0" simplePos="0" relativeHeight="251659264" behindDoc="0" locked="0" layoutInCell="0" allowOverlap="1">
                <wp:simplePos x="0" y="0"/>
                <wp:positionH relativeFrom="column">
                  <wp:posOffset>0</wp:posOffset>
                </wp:positionH>
                <wp:positionV relativeFrom="paragraph">
                  <wp:posOffset>257175</wp:posOffset>
                </wp:positionV>
                <wp:extent cx="5803265" cy="12700"/>
                <wp:effectExtent l="0" t="0" r="0" b="0"/>
                <wp:wrapTopAndBottom/>
                <wp:docPr id="2" name="Forma libre 2"/>
                <wp:cNvGraphicFramePr/>
                <a:graphic xmlns:a="http://schemas.openxmlformats.org/drawingml/2006/main">
                  <a:graphicData uri="http://schemas.microsoft.com/office/word/2010/wordprocessingShape">
                    <wps:wsp>
                      <wps:cNvSpPr/>
                      <wps:spPr>
                        <a:xfrm>
                          <a:off x="0" y="0"/>
                          <a:ext cx="5803200" cy="12600"/>
                        </a:xfrm>
                        <a:custGeom>
                          <a:avLst/>
                          <a:gdLst>
                            <a:gd name="textAreaLeft" fmla="*/ 0 w 3290040"/>
                            <a:gd name="textAreaRight" fmla="*/ 3290400 w 3290040"/>
                            <a:gd name="textAreaTop" fmla="*/ 0 h 7200"/>
                            <a:gd name="textAreaBottom" fmla="*/ 7560 h 7200"/>
                          </a:gdLst>
                          <a:ahLst/>
                          <a:cxnLst/>
                          <a:rect l="textAreaLeft" t="textAreaTop" r="textAreaRight" b="textAreaBottom"/>
                          <a:pathLst>
                            <a:path w="5803265" h="6350">
                              <a:moveTo>
                                <a:pt x="5802757" y="0"/>
                              </a:moveTo>
                              <a:lnTo>
                                <a:pt x="0" y="0"/>
                              </a:lnTo>
                              <a:lnTo>
                                <a:pt x="0" y="6095"/>
                              </a:lnTo>
                              <a:lnTo>
                                <a:pt x="5802757" y="6095"/>
                              </a:lnTo>
                              <a:lnTo>
                                <a:pt x="5802757"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id="_x0000_s1026" o:spid="_x0000_s1026" o:spt="100" style="position:absolute;left:0pt;margin-left:0pt;margin-top:20.25pt;height:1pt;width:456.95pt;mso-wrap-distance-bottom:0pt;mso-wrap-distance-top:0pt;z-index:251659264;mso-width-relative:page;mso-height-relative:page;" fillcolor="#000000" filled="t" stroked="f" coordsize="5803265,6350" o:allowincell="f" o:gfxdata="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rFyO7VAAAABgEAAA8AAAAAAAAAAQAgAAAAIgAAAGRycy9kb3ducmV2LnhtbFBLAQIUABQA&#10;AAAIAIdO4kB3fW4hZQIAAKgFAAAOAAAAAAAAAAEAIAAAACQBAABkcnMvZTJvRG9jLnhtbFBLBQYA&#10;AAAABgAGAFkBAAD7BQAAAAA=&#10;" path="m5802757,0l0,0,0,6095,5802757,6095,5802757,0xe">
                <v:fill on="t" focussize="0,0"/>
                <v:stroke on="f" weight="0pt"/>
                <v:imagedata o:title=""/>
                <o:lock v:ext="edit" aspectratio="f"/>
                <w10:wrap type="topAndBottom"/>
              </v:shape>
            </w:pict>
          </mc:Fallback>
        </mc:AlternateContent>
      </w:r>
    </w:p>
    <w:p w14:paraId="1DB37327">
      <w:pPr>
        <w:spacing w:after="0" w:line="240" w:lineRule="auto"/>
        <w:ind w:left="275" w:right="73" w:hanging="65"/>
        <w:rPr>
          <w:sz w:val="16"/>
          <w:szCs w:val="16"/>
          <w:lang w:val="es-AR"/>
        </w:rPr>
        <w:sectPr>
          <w:headerReference r:id="rId7" w:type="first"/>
          <w:headerReference r:id="rId6" w:type="default"/>
          <w:pgSz w:w="11906" w:h="16838"/>
          <w:pgMar w:top="2000" w:right="1133" w:bottom="280" w:left="1275" w:header="737" w:footer="0" w:gutter="0"/>
          <w:pgNumType w:start="1"/>
          <w:cols w:space="720" w:num="1"/>
          <w:formProt w:val="0"/>
          <w:docGrid w:linePitch="100" w:charSpace="0"/>
        </w:sectPr>
      </w:pPr>
      <w:r>
        <w:rPr>
          <w:sz w:val="16"/>
          <w:szCs w:val="16"/>
          <w:lang w:val="es-AR"/>
        </w:rPr>
        <w:t xml:space="preserve">Dirección de Posgrado, Facultad de Ciencias Forestales, Universidad Nacional de Santiago del Estero, Av. Belgrano (S) 1912, G4200ABT Santiago del Estero - Argentina - Tel/Fax +54-385-4509550 - e-mail: </w:t>
      </w:r>
      <w:r>
        <w:fldChar w:fldCharType="begin"/>
      </w:r>
      <w:r>
        <w:instrText xml:space="preserve"> HYPERLINK "mailto:posgradocsforestales@gmail.com" \h </w:instrText>
      </w:r>
      <w:r>
        <w:fldChar w:fldCharType="separate"/>
      </w:r>
      <w:r>
        <w:rPr>
          <w:color w:val="000080"/>
          <w:sz w:val="16"/>
          <w:szCs w:val="16"/>
          <w:u w:val="single"/>
          <w:lang w:val="es-AR"/>
        </w:rPr>
        <w:t>posgradocsforestales@gmail.com</w:t>
      </w:r>
      <w:r>
        <w:rPr>
          <w:color w:val="000080"/>
          <w:sz w:val="16"/>
          <w:szCs w:val="16"/>
          <w:u w:val="single"/>
          <w:lang w:val="es-AR"/>
        </w:rPr>
        <w:fldChar w:fldCharType="end"/>
      </w:r>
      <w:r>
        <w:rPr>
          <w:color w:val="000080"/>
          <w:sz w:val="16"/>
          <w:szCs w:val="16"/>
          <w:lang w:val="es-AR"/>
        </w:rPr>
        <w:t xml:space="preserve"> </w:t>
      </w:r>
      <w:r>
        <w:rPr>
          <w:sz w:val="16"/>
          <w:szCs w:val="16"/>
          <w:lang w:val="es-AR"/>
        </w:rPr>
        <w:t xml:space="preserve">- Web: </w:t>
      </w:r>
      <w:r>
        <w:fldChar w:fldCharType="begin"/>
      </w:r>
      <w:r>
        <w:instrText xml:space="preserve"> HYPERLINK "https://fcf.unse.edu.ar/" \h </w:instrText>
      </w:r>
      <w:r>
        <w:fldChar w:fldCharType="separate"/>
      </w:r>
      <w:r>
        <w:rPr>
          <w:sz w:val="16"/>
          <w:szCs w:val="16"/>
          <w:lang w:val="es-AR"/>
        </w:rPr>
        <w:t>https://fcf.unse.edu.ar</w:t>
      </w:r>
      <w:r>
        <w:rPr>
          <w:sz w:val="16"/>
          <w:szCs w:val="16"/>
          <w:lang w:val="es-AR"/>
        </w:rPr>
        <w:fldChar w:fldCharType="end"/>
      </w:r>
    </w:p>
    <w:p w14:paraId="60E0D52E">
      <w:pPr>
        <w:spacing w:after="0" w:line="240" w:lineRule="auto"/>
        <w:ind w:left="28"/>
        <w:rPr>
          <w:sz w:val="24"/>
          <w:szCs w:val="24"/>
          <w:lang w:val="es-AR"/>
        </w:rPr>
      </w:pPr>
      <w:r>
        <w:rPr>
          <w:b/>
          <w:bCs/>
          <w:sz w:val="24"/>
          <w:szCs w:val="24"/>
          <w:lang w:val="es-AR"/>
        </w:rPr>
        <w:t>Curso de Posgrado Interinstitucional: Silvicultura, restauración y manejo sostenible de bosques</w:t>
      </w:r>
    </w:p>
    <w:p w14:paraId="0D282746">
      <w:pPr>
        <w:spacing w:after="0" w:line="240" w:lineRule="auto"/>
        <w:ind w:left="28"/>
        <w:rPr>
          <w:b/>
          <w:bCs/>
          <w:sz w:val="24"/>
          <w:szCs w:val="24"/>
          <w:lang w:val="es-AR"/>
        </w:rPr>
      </w:pPr>
    </w:p>
    <w:p w14:paraId="08FFCDA7">
      <w:pPr>
        <w:spacing w:after="0" w:line="240" w:lineRule="auto"/>
        <w:ind w:left="28"/>
        <w:rPr>
          <w:sz w:val="24"/>
          <w:szCs w:val="24"/>
          <w:lang w:val="es-AR"/>
        </w:rPr>
      </w:pPr>
      <w:r>
        <w:rPr>
          <w:b/>
          <w:bCs/>
          <w:sz w:val="24"/>
          <w:szCs w:val="24"/>
          <w:lang w:val="es-AR"/>
        </w:rPr>
        <w:t xml:space="preserve">Profesores responsables: </w:t>
      </w:r>
      <w:r>
        <w:rPr>
          <w:sz w:val="24"/>
          <w:szCs w:val="24"/>
          <w:lang w:val="es-AR"/>
        </w:rPr>
        <w:t>Dra. María Gracia Senilliani (FCF UNSE), Dr. Luis Ritter (FCF UNAM)</w:t>
      </w:r>
    </w:p>
    <w:p w14:paraId="1926589D">
      <w:pPr>
        <w:spacing w:after="0" w:line="240" w:lineRule="auto"/>
        <w:ind w:left="28"/>
        <w:rPr>
          <w:b/>
          <w:bCs/>
          <w:sz w:val="24"/>
          <w:szCs w:val="24"/>
          <w:lang w:val="es-AR"/>
        </w:rPr>
      </w:pPr>
    </w:p>
    <w:p w14:paraId="4BAF20B0">
      <w:pPr>
        <w:spacing w:after="0" w:line="240" w:lineRule="auto"/>
        <w:ind w:left="28"/>
        <w:rPr>
          <w:sz w:val="24"/>
          <w:szCs w:val="24"/>
          <w:lang w:val="es-AR"/>
        </w:rPr>
      </w:pPr>
      <w:r>
        <w:rPr>
          <w:b/>
          <w:bCs/>
          <w:sz w:val="24"/>
          <w:szCs w:val="24"/>
          <w:lang w:val="es-AR"/>
        </w:rPr>
        <w:t xml:space="preserve">Colaboradores: </w:t>
      </w:r>
      <w:r>
        <w:rPr>
          <w:sz w:val="24"/>
          <w:szCs w:val="24"/>
          <w:lang w:val="es-AR"/>
        </w:rPr>
        <w:t xml:space="preserve">Dra. Analía Guzmán, Dra. Magdalena Abt  </w:t>
      </w:r>
    </w:p>
    <w:p w14:paraId="00478D23">
      <w:pPr>
        <w:spacing w:after="0" w:line="240" w:lineRule="auto"/>
        <w:ind w:left="28"/>
        <w:rPr>
          <w:b/>
          <w:bCs/>
          <w:sz w:val="24"/>
          <w:szCs w:val="24"/>
          <w:lang w:val="es-AR"/>
        </w:rPr>
      </w:pPr>
    </w:p>
    <w:p w14:paraId="25AA0821">
      <w:pPr>
        <w:spacing w:after="0" w:line="240" w:lineRule="auto"/>
        <w:ind w:left="28"/>
        <w:rPr>
          <w:sz w:val="24"/>
          <w:szCs w:val="24"/>
          <w:lang w:val="es-AR"/>
        </w:rPr>
      </w:pPr>
      <w:r>
        <w:rPr>
          <w:b/>
          <w:bCs/>
          <w:sz w:val="24"/>
          <w:szCs w:val="24"/>
          <w:lang w:val="es-AR"/>
        </w:rPr>
        <w:t xml:space="preserve">Carga Horaria: </w:t>
      </w:r>
      <w:r>
        <w:rPr>
          <w:sz w:val="24"/>
          <w:szCs w:val="24"/>
          <w:lang w:val="es-AR"/>
        </w:rPr>
        <w:t>40 hs.</w:t>
      </w:r>
    </w:p>
    <w:p w14:paraId="76882378">
      <w:pPr>
        <w:spacing w:after="0" w:line="240" w:lineRule="auto"/>
        <w:ind w:left="28" w:right="4577"/>
        <w:rPr>
          <w:b/>
          <w:bCs/>
          <w:sz w:val="24"/>
          <w:szCs w:val="24"/>
          <w:lang w:val="es-AR"/>
        </w:rPr>
      </w:pPr>
    </w:p>
    <w:p w14:paraId="4041154C">
      <w:pPr>
        <w:spacing w:after="0" w:line="240" w:lineRule="auto"/>
        <w:ind w:left="28" w:right="4577"/>
        <w:rPr>
          <w:sz w:val="24"/>
          <w:szCs w:val="24"/>
          <w:lang w:val="es-AR"/>
        </w:rPr>
      </w:pPr>
      <w:r>
        <w:rPr>
          <w:b/>
          <w:bCs/>
          <w:sz w:val="24"/>
          <w:szCs w:val="24"/>
          <w:lang w:val="es-AR"/>
        </w:rPr>
        <w:t xml:space="preserve">Fecha: </w:t>
      </w:r>
      <w:r>
        <w:rPr>
          <w:sz w:val="24"/>
          <w:szCs w:val="24"/>
          <w:lang w:val="es-AR"/>
        </w:rPr>
        <w:t>septiembre 2026</w:t>
      </w:r>
    </w:p>
    <w:p w14:paraId="65E54C3D">
      <w:pPr>
        <w:spacing w:after="0" w:line="240" w:lineRule="auto"/>
        <w:ind w:left="28"/>
        <w:rPr>
          <w:b/>
          <w:bCs/>
          <w:sz w:val="24"/>
          <w:szCs w:val="24"/>
          <w:lang w:val="es-AR"/>
        </w:rPr>
      </w:pPr>
    </w:p>
    <w:p w14:paraId="554CA60C">
      <w:pPr>
        <w:spacing w:after="0" w:line="240" w:lineRule="auto"/>
        <w:ind w:left="28"/>
        <w:rPr>
          <w:sz w:val="24"/>
          <w:szCs w:val="24"/>
          <w:lang w:val="es-AR"/>
        </w:rPr>
      </w:pPr>
      <w:r>
        <w:rPr>
          <w:b/>
          <w:bCs/>
          <w:sz w:val="24"/>
          <w:szCs w:val="24"/>
          <w:lang w:val="es-AR"/>
        </w:rPr>
        <w:t xml:space="preserve">Modalidad: </w:t>
      </w:r>
      <w:r>
        <w:rPr>
          <w:sz w:val="24"/>
          <w:szCs w:val="24"/>
          <w:lang w:val="es-AR"/>
        </w:rPr>
        <w:t>virtual sincrónico</w:t>
      </w:r>
    </w:p>
    <w:p w14:paraId="0B3503C4">
      <w:pPr>
        <w:spacing w:after="0" w:line="240" w:lineRule="auto"/>
        <w:rPr>
          <w:color w:val="000000"/>
          <w:sz w:val="24"/>
          <w:szCs w:val="24"/>
          <w:lang w:val="es-AR"/>
        </w:rPr>
      </w:pPr>
    </w:p>
    <w:p w14:paraId="2569F0DE">
      <w:pPr>
        <w:spacing w:after="0" w:line="240" w:lineRule="auto"/>
        <w:rPr>
          <w:color w:val="000000"/>
          <w:sz w:val="24"/>
          <w:szCs w:val="24"/>
          <w:lang w:val="es-AR"/>
        </w:rPr>
      </w:pPr>
    </w:p>
    <w:p w14:paraId="48766198">
      <w:pPr>
        <w:pStyle w:val="4"/>
        <w:keepNext w:val="0"/>
        <w:keepLines w:val="0"/>
        <w:widowControl w:val="0"/>
        <w:numPr>
          <w:ilvl w:val="0"/>
          <w:numId w:val="1"/>
        </w:numPr>
        <w:tabs>
          <w:tab w:val="left" w:pos="249"/>
        </w:tabs>
        <w:suppressAutoHyphens/>
        <w:spacing w:before="0" w:line="240" w:lineRule="auto"/>
        <w:ind w:left="249" w:hanging="221"/>
        <w:rPr>
          <w:lang w:val="es-AR"/>
        </w:rPr>
      </w:pPr>
      <w:r>
        <w:rPr>
          <w:color w:val="1F2023"/>
          <w:lang w:val="es-AR"/>
        </w:rPr>
        <w:t>Marco conceptual e importancia actual/Fundamento</w:t>
      </w:r>
    </w:p>
    <w:p w14:paraId="03261621">
      <w:pPr>
        <w:spacing w:after="0" w:line="240" w:lineRule="auto"/>
        <w:jc w:val="both"/>
        <w:rPr>
          <w:lang w:val="es-AR"/>
        </w:rPr>
      </w:pPr>
      <w:r>
        <w:rPr>
          <w:lang w:val="es-AR"/>
        </w:rPr>
        <w:t>Los bosques nativos constituyen sistemas socioecológicos estratégicos para el desarrollo sostenible de la Argentina, particularmente en las regiones extrapampeanas, donde cumplen funciones ecológicas, económicas, sociales y culturales fundamentales. Estos ecosistemas proveen bienes madereros y no madereros, sostienen sistemas productivos asociados, contribuyen a la regulación hídrica, conservación de suelos, mantenimiento de biodiversidad y captura de carbono, además de cumplir un rol central en los medios de vida de numerosas poblaciones rurales (FAO, 2020; Secretaría de Ambiente y Desarrollo de la Nación, 2007).</w:t>
      </w:r>
    </w:p>
    <w:p w14:paraId="1D67A4DC">
      <w:pPr>
        <w:spacing w:after="0" w:line="240" w:lineRule="auto"/>
        <w:jc w:val="both"/>
        <w:rPr>
          <w:lang w:val="es-AR"/>
        </w:rPr>
      </w:pPr>
      <w:r>
        <w:rPr>
          <w:lang w:val="es-AR"/>
        </w:rPr>
        <w:t>En el contexto actual de crisis climática, degradación ambiental y pérdida de biodiversidad, los bosques nativos enfrentan crecientes presiones derivadas del cambio de uso del suelo, fragmentación, incendios, sobrepastoreo y aprovechamientos no sostenibles. Estas dinámicas generan procesos de degradación que requieren no solo estrategias de conservación, sino también intervenciones silvícolas activas orientadas al mantenimiento, recuperación y restauración de la estructura, composición y funcionalidad de los ecosistemas forestales (Peri, Martínez Pastur &amp; Schlichter, 2021; Souza &amp; Soares, 2013).</w:t>
      </w:r>
    </w:p>
    <w:p w14:paraId="5A557E61">
      <w:pPr>
        <w:spacing w:after="0" w:line="240" w:lineRule="auto"/>
        <w:jc w:val="both"/>
        <w:rPr>
          <w:lang w:val="es-AR"/>
        </w:rPr>
      </w:pPr>
      <w:r>
        <w:rPr>
          <w:lang w:val="es-AR"/>
        </w:rPr>
        <w:t>La silvicultura constituye una disciplina central para abordar estos desafíos, integrando conocimientos ecológicos, productivos y tecnológicos aplicados tanto al manejo de bosques nativos como al diseño e implementación de plantaciones forestales con objetivos múltiples. En este sentido, el establecimiento de plantaciones con especies nativas y/o exóticas, así como las prácticas de enriquecimiento y recuperación de áreas degradadas, representan herramientas estratégicas para restauración productiva, rehabilitación ecológica y diversificación de sistemas forestales (Senilliani &amp; Brassiolo, 2021; Senilliani, Bruno &amp; Brassiolo, 2021).</w:t>
      </w:r>
    </w:p>
    <w:p w14:paraId="1F9571FA">
      <w:pPr>
        <w:spacing w:after="0" w:line="240" w:lineRule="auto"/>
        <w:jc w:val="both"/>
        <w:rPr>
          <w:lang w:val="es-AR"/>
        </w:rPr>
      </w:pPr>
      <w:r>
        <w:rPr>
          <w:lang w:val="es-AR"/>
        </w:rPr>
        <w:t>En Argentina, la implementación de la Ley Nacional N° 26.331 de Presupuestos Mínimos de Protección Ambiental de los Bosques Nativos y el desarrollo de políticas asociadas al ordenamiento territorial, restauración y mitigación del cambio climático demandan profesionales con formación actualizada en manejo forestal sostenible y herramientas silvícolas adaptadas a diferentes contextos ecológicos, productivos e institucionales (MAyDS, 2020; Peri et al., 2021).</w:t>
      </w:r>
    </w:p>
    <w:p w14:paraId="688A180F">
      <w:pPr>
        <w:spacing w:after="0" w:line="240" w:lineRule="auto"/>
        <w:jc w:val="both"/>
        <w:rPr>
          <w:lang w:val="es-AR"/>
        </w:rPr>
      </w:pPr>
      <w:r>
        <w:rPr>
          <w:lang w:val="es-AR"/>
        </w:rPr>
        <w:t>Particularmente, las regiones forestales del norte argentino presentan una elevada heterogeneidad ecológica y socioeconómica, que exige enfoques diferenciados de manejo. En el Parque Chaqueño, el manejo sostenible requiere integrar producción forestal, conservación y sistemas de uso múltiple adaptados a condiciones de variabilidad climática y presión antrópica (Brassiolo, Abt &amp; Grulke, 2013; Sarmiento et al., 2021; Brassiolo et al., 2017). En la Selva Misionera, los desafíos se vinculan con la conservación de biodiversidad, manejo de regeneración natural, enriquecimiento y desarrollo de intervenciones silvícolas compatibles con sistemas forestales complejos y de alta diversidad (Campanello et al., 2019; Grulke et al., 2013; Riegelhaupt &amp; Burkart, 2002).</w:t>
      </w:r>
    </w:p>
    <w:p w14:paraId="32D1FEBD">
      <w:pPr>
        <w:spacing w:after="0" w:line="240" w:lineRule="auto"/>
        <w:jc w:val="both"/>
        <w:rPr>
          <w:lang w:val="es-AR"/>
        </w:rPr>
      </w:pPr>
      <w:r>
        <w:rPr>
          <w:lang w:val="es-AR"/>
        </w:rPr>
        <w:t>Asimismo, dada la proximidad ecológica y similitud estructural entre la Selva Misionera y otras formaciones forestales subtropicales de Brasil, se incorporan aportes de la bibliografía brasileña como referencia para el análisis de técnicas de manejo forestal de impacto reducido, dinámica de bosques nativos y estrategias silviculturales aplicables a sistemas forestales de alta diversidad y complejidad estructural (Amaral et al., 1998; Souza &amp; Soares, 2013).</w:t>
      </w:r>
    </w:p>
    <w:p w14:paraId="2BD12DC5">
      <w:pPr>
        <w:spacing w:after="0" w:line="240" w:lineRule="auto"/>
        <w:jc w:val="both"/>
        <w:rPr>
          <w:lang w:val="es-AR"/>
        </w:rPr>
      </w:pPr>
      <w:r>
        <w:rPr>
          <w:lang w:val="es-AR"/>
        </w:rPr>
        <w:t>En este marco, el presente curso de posgrado propone un espacio de formación e intercambio académico entre la cátedra de Silvicultura de la Facultad de Ciencias Forestales de la Universidad Nacional de Santiago del Estero y la cátedra homóloga de la Facultad de Ciencias Forestales de la Universidad Nacional de Misiones, bajo modalidad espejo, promoviendo el análisis comparado de experiencias, problemáticas y herramientas silvícolas vinculadas a dos ecorregiones forestales estratégicas del país: el Chaco y la Selva Paranaense.</w:t>
      </w:r>
    </w:p>
    <w:p w14:paraId="2AFFB0F3">
      <w:pPr>
        <w:spacing w:after="0" w:line="240" w:lineRule="auto"/>
        <w:jc w:val="both"/>
        <w:rPr>
          <w:lang w:val="es-AR"/>
        </w:rPr>
      </w:pPr>
      <w:r>
        <w:rPr>
          <w:lang w:val="es-AR"/>
        </w:rPr>
        <w:t>La articulación entre ambas instituciones favorece el intercambio de experiencias académicas y territoriales, permitiendo integrar conocimientos sobre manejo de bosques nativos, regeneración natural, restauración, enriquecimiento y establecimiento de plantaciones forestales orientadas tanto a objetivos productivos como ecológicos. Asimismo, fortalece una perspectiva federal e interdisciplinaria sobre la gestión sostenible de sistemas forestales.</w:t>
      </w:r>
    </w:p>
    <w:p w14:paraId="27295858">
      <w:pPr>
        <w:spacing w:after="0" w:line="240" w:lineRule="auto"/>
        <w:jc w:val="both"/>
        <w:rPr>
          <w:lang w:val="es-AR"/>
        </w:rPr>
      </w:pPr>
      <w:r>
        <w:rPr>
          <w:lang w:val="es-AR"/>
        </w:rPr>
        <w:t>Dada la diversidad biofísica, institucional y productiva de las ecorregiones forestales argentinas, resulta indispensable formar profesionales capaces de evaluar, diseñar e implementar alternativas silvícolas técnica, económica, ambiental y socialmente viables. En este sentido, el curso se orienta al análisis crítico y aplicación de herramientas de silvicultura para el manejo sostenible de bosques nativos, recuperación de áreas degradadas, enriquecimiento forestal y establecimiento de plantaciones con fines de producción, protección y restauración.</w:t>
      </w:r>
    </w:p>
    <w:p w14:paraId="1ADFB34C">
      <w:pPr>
        <w:spacing w:after="0" w:line="240" w:lineRule="auto"/>
        <w:rPr>
          <w:color w:val="000000"/>
          <w:lang w:val="es-AR"/>
        </w:rPr>
      </w:pPr>
    </w:p>
    <w:p w14:paraId="047119D9">
      <w:pPr>
        <w:pStyle w:val="4"/>
        <w:keepNext w:val="0"/>
        <w:keepLines w:val="0"/>
        <w:widowControl w:val="0"/>
        <w:numPr>
          <w:ilvl w:val="0"/>
          <w:numId w:val="1"/>
        </w:numPr>
        <w:tabs>
          <w:tab w:val="left" w:pos="249"/>
        </w:tabs>
        <w:suppressAutoHyphens/>
        <w:spacing w:before="0" w:line="240" w:lineRule="auto"/>
        <w:ind w:left="249" w:hanging="221"/>
      </w:pPr>
      <w:r>
        <w:rPr>
          <w:color w:val="1F2023"/>
        </w:rPr>
        <w:t>Objetivos</w:t>
      </w:r>
    </w:p>
    <w:p w14:paraId="1E744BB7">
      <w:pPr>
        <w:spacing w:after="0" w:line="240" w:lineRule="auto"/>
        <w:rPr>
          <w:b/>
          <w:bCs/>
          <w:color w:val="000000"/>
        </w:rPr>
      </w:pPr>
    </w:p>
    <w:p w14:paraId="2D384D5B">
      <w:pPr>
        <w:widowControl w:val="0"/>
        <w:numPr>
          <w:ilvl w:val="1"/>
          <w:numId w:val="1"/>
        </w:numPr>
        <w:tabs>
          <w:tab w:val="left" w:pos="358"/>
        </w:tabs>
        <w:suppressAutoHyphens/>
        <w:spacing w:after="0" w:line="240" w:lineRule="auto"/>
        <w:ind w:left="358" w:hanging="330"/>
        <w:rPr>
          <w:b/>
          <w:bCs/>
          <w:color w:val="000000"/>
        </w:rPr>
      </w:pPr>
      <w:r>
        <w:rPr>
          <w:b/>
          <w:bCs/>
          <w:color w:val="1F2023"/>
        </w:rPr>
        <w:t>Objetivo General:</w:t>
      </w:r>
    </w:p>
    <w:p w14:paraId="0D8D5546">
      <w:pPr>
        <w:spacing w:after="0" w:line="240" w:lineRule="auto"/>
        <w:jc w:val="both"/>
        <w:rPr>
          <w:color w:val="1F2023"/>
          <w:lang w:val="es-AR"/>
        </w:rPr>
      </w:pPr>
      <w:r>
        <w:rPr>
          <w:color w:val="1F2023"/>
          <w:lang w:val="es-AR"/>
        </w:rPr>
        <w:t>Contrastar los modelos de gestión forestal de la Selva paranaense y región Chaqueña bajo criterios de sostenibilidad, promoviendo una reflexión crítica sobre la capacidad de resiliencia de cada ecosistema frente a las presiones antrópicas actuales.</w:t>
      </w:r>
    </w:p>
    <w:p w14:paraId="76165D45">
      <w:pPr>
        <w:spacing w:after="0" w:line="240" w:lineRule="auto"/>
        <w:jc w:val="both"/>
        <w:rPr>
          <w:color w:val="000000"/>
          <w:lang w:val="es-AR"/>
        </w:rPr>
      </w:pPr>
    </w:p>
    <w:p w14:paraId="7EC42FD0">
      <w:pPr>
        <w:pStyle w:val="4"/>
        <w:keepNext w:val="0"/>
        <w:keepLines w:val="0"/>
        <w:widowControl w:val="0"/>
        <w:numPr>
          <w:ilvl w:val="1"/>
          <w:numId w:val="1"/>
        </w:numPr>
        <w:tabs>
          <w:tab w:val="left" w:pos="358"/>
        </w:tabs>
        <w:suppressAutoHyphens/>
        <w:spacing w:before="0" w:line="240" w:lineRule="auto"/>
        <w:ind w:left="358" w:hanging="330"/>
      </w:pPr>
      <w:r>
        <w:rPr>
          <w:color w:val="1F2023"/>
        </w:rPr>
        <w:t>Objetivos Específicos:</w:t>
      </w:r>
    </w:p>
    <w:p w14:paraId="1AEDD4E0">
      <w:pPr>
        <w:spacing w:after="0" w:line="240" w:lineRule="auto"/>
        <w:rPr>
          <w:b/>
          <w:bCs/>
          <w:color w:val="000000"/>
        </w:rPr>
      </w:pPr>
    </w:p>
    <w:p w14:paraId="243AFCBF">
      <w:pPr>
        <w:spacing w:after="0" w:line="240" w:lineRule="auto"/>
        <w:ind w:left="28"/>
        <w:jc w:val="both"/>
        <w:rPr>
          <w:lang w:val="es-AR"/>
        </w:rPr>
      </w:pPr>
      <w:r>
        <w:rPr>
          <w:lang w:val="es-AR"/>
        </w:rPr>
        <w:t>Caracterizar y discutir la evolución histórica de la silvicultura y los aspectos más relevantes de la caracterización de los Bosques para su manejo.</w:t>
      </w:r>
    </w:p>
    <w:p w14:paraId="28A0690A">
      <w:pPr>
        <w:spacing w:after="0" w:line="240" w:lineRule="auto"/>
        <w:ind w:left="28"/>
        <w:jc w:val="both"/>
        <w:rPr>
          <w:lang w:val="es-AR"/>
        </w:rPr>
      </w:pPr>
      <w:r>
        <w:rPr>
          <w:lang w:val="es-AR"/>
        </w:rPr>
        <w:t>Describir el potencial Silvicultural de los Bosques de la ecorregión del Chaco y Selva Paranaense.</w:t>
      </w:r>
    </w:p>
    <w:p w14:paraId="6CC9AB1D">
      <w:pPr>
        <w:spacing w:after="0" w:line="240" w:lineRule="auto"/>
        <w:ind w:left="28" w:right="73"/>
        <w:jc w:val="both"/>
        <w:rPr>
          <w:lang w:val="es-AR"/>
        </w:rPr>
      </w:pPr>
      <w:r>
        <w:rPr>
          <w:lang w:val="es-AR"/>
        </w:rPr>
        <w:t>Presentar los sistemas silviculturales posibles según el potencial del bosque y los objetivos del manejo. Debatir sobre los nuevos enfoques para la planificación silvicultural.</w:t>
      </w:r>
    </w:p>
    <w:p w14:paraId="310B53FF">
      <w:pPr>
        <w:spacing w:after="0" w:line="240" w:lineRule="auto"/>
        <w:ind w:left="28"/>
        <w:jc w:val="both"/>
        <w:rPr>
          <w:lang w:val="es-AR"/>
        </w:rPr>
      </w:pPr>
      <w:r>
        <w:rPr>
          <w:lang w:val="es-AR"/>
        </w:rPr>
        <w:t>Proponer un espacio de discusión y reflexión crítica para las prácticas y pautas de manejo que se dan hoy en día en ambas ecorregiones.</w:t>
      </w:r>
    </w:p>
    <w:p w14:paraId="3698B10D">
      <w:pPr>
        <w:rPr>
          <w:color w:val="000000"/>
          <w:lang w:val="es-AR"/>
        </w:rPr>
      </w:pPr>
      <w:r>
        <w:rPr>
          <w:color w:val="000000"/>
          <w:lang w:val="es-AR"/>
        </w:rPr>
        <w:br w:type="page"/>
      </w:r>
    </w:p>
    <w:p w14:paraId="25BD16BC">
      <w:pPr>
        <w:pStyle w:val="4"/>
        <w:keepNext w:val="0"/>
        <w:keepLines w:val="0"/>
        <w:widowControl w:val="0"/>
        <w:numPr>
          <w:ilvl w:val="0"/>
          <w:numId w:val="1"/>
        </w:numPr>
        <w:tabs>
          <w:tab w:val="left" w:pos="247"/>
        </w:tabs>
        <w:suppressAutoHyphens/>
        <w:spacing w:before="0" w:line="240" w:lineRule="auto"/>
        <w:ind w:left="28" w:firstLine="0"/>
      </w:pPr>
      <w:r>
        <w:rPr>
          <w:color w:val="1F2023"/>
        </w:rPr>
        <w:t xml:space="preserve">Contenidos </w:t>
      </w:r>
    </w:p>
    <w:p w14:paraId="68B54953">
      <w:pPr>
        <w:spacing w:after="0" w:line="240" w:lineRule="auto"/>
        <w:rPr>
          <w:b/>
          <w:bCs/>
          <w:color w:val="000000"/>
          <w:lang w:val="es-AR"/>
        </w:rPr>
      </w:pPr>
      <w:r>
        <w:rPr>
          <w:b/>
          <w:bCs/>
          <w:color w:val="000000"/>
          <w:lang w:val="es-AR"/>
        </w:rPr>
        <w:t xml:space="preserve"> Introducción a la Silvicultura</w:t>
      </w:r>
      <w:r>
        <w:rPr>
          <w:color w:val="000000"/>
          <w:lang w:val="es-AR"/>
        </w:rPr>
        <w:t xml:space="preserve">. </w:t>
      </w:r>
      <w:r>
        <w:rPr>
          <w:b/>
          <w:bCs/>
          <w:color w:val="000000"/>
          <w:lang w:val="es-AR"/>
        </w:rPr>
        <w:t>Estado de los Bosques del mundo y Argentina</w:t>
      </w:r>
    </w:p>
    <w:p w14:paraId="36291FEA">
      <w:pPr>
        <w:spacing w:after="0" w:line="240" w:lineRule="auto"/>
        <w:rPr>
          <w:color w:val="000000"/>
          <w:lang w:val="es-AR"/>
        </w:rPr>
      </w:pPr>
    </w:p>
    <w:p w14:paraId="75FB5143">
      <w:pPr>
        <w:spacing w:after="0" w:line="240" w:lineRule="auto"/>
        <w:jc w:val="both"/>
        <w:rPr>
          <w:color w:val="000000"/>
          <w:lang w:val="es-AR"/>
        </w:rPr>
      </w:pPr>
      <w:r>
        <w:rPr>
          <w:color w:val="000000"/>
          <w:lang w:val="es-AR"/>
        </w:rPr>
        <w:t xml:space="preserve">Historia y Evolución de la Silvicultura: Conceptos, objeto, papel social, enfoques, evolución y tendencias actuales de la Silvicultura. Del aprovechamiento centrado en la madera a la silvicultura con enfoque </w:t>
      </w:r>
      <w:r>
        <w:rPr>
          <w:lang w:val="es-AR"/>
        </w:rPr>
        <w:t>ecosistémico</w:t>
      </w:r>
      <w:r>
        <w:rPr>
          <w:color w:val="000000"/>
          <w:lang w:val="es-AR"/>
        </w:rPr>
        <w:t>.</w:t>
      </w:r>
    </w:p>
    <w:p w14:paraId="539A017C">
      <w:pPr>
        <w:spacing w:after="0" w:line="240" w:lineRule="auto"/>
        <w:jc w:val="both"/>
        <w:rPr>
          <w:color w:val="000000"/>
          <w:lang w:val="es-AR"/>
        </w:rPr>
      </w:pPr>
      <w:r>
        <w:rPr>
          <w:color w:val="000000"/>
          <w:lang w:val="es-AR"/>
        </w:rPr>
        <w:t xml:space="preserve">Importancia de los bosques. Cobertura mundial de bosques, superficie de bosques nativos y plantaciones forestales. Bosques primarios y secundarios. Fragmentación. Causas de la deforestación y degradación. </w:t>
      </w:r>
    </w:p>
    <w:p w14:paraId="3E00CC18">
      <w:pPr>
        <w:spacing w:after="0" w:line="240" w:lineRule="auto"/>
        <w:jc w:val="both"/>
        <w:rPr>
          <w:color w:val="000000"/>
          <w:lang w:val="es-AR"/>
        </w:rPr>
      </w:pPr>
      <w:r>
        <w:rPr>
          <w:color w:val="000000"/>
          <w:lang w:val="es-AR"/>
        </w:rPr>
        <w:t>Principales resultados del Segundo Inventario Nacional de Bosques Nativos (INBN2) en Argentina. Situación actual del Ordenamiento Territorial de Bosques Nativos (OTBN) en Argentina.</w:t>
      </w:r>
    </w:p>
    <w:p w14:paraId="651FFB11">
      <w:pPr>
        <w:spacing w:after="0" w:line="240" w:lineRule="auto"/>
        <w:jc w:val="both"/>
        <w:rPr>
          <w:color w:val="000000"/>
          <w:lang w:val="es-AR"/>
        </w:rPr>
      </w:pPr>
    </w:p>
    <w:p w14:paraId="2A0C7FC2">
      <w:pPr>
        <w:spacing w:after="0" w:line="240" w:lineRule="auto"/>
        <w:jc w:val="both"/>
        <w:rPr>
          <w:i/>
          <w:iCs/>
          <w:color w:val="000000"/>
          <w:lang w:val="es-AR"/>
        </w:rPr>
      </w:pPr>
      <w:r>
        <w:rPr>
          <w:i/>
          <w:iCs/>
          <w:color w:val="000000"/>
          <w:lang w:val="es-AR"/>
        </w:rPr>
        <w:t>Ejemplos de aplicación:</w:t>
      </w:r>
    </w:p>
    <w:p w14:paraId="0C2431EB">
      <w:pPr>
        <w:spacing w:after="0" w:line="240" w:lineRule="auto"/>
        <w:ind w:left="28"/>
        <w:jc w:val="both"/>
        <w:rPr>
          <w:color w:val="000000"/>
          <w:lang w:val="es-AR"/>
        </w:rPr>
      </w:pPr>
      <w:r>
        <w:rPr>
          <w:color w:val="000000"/>
          <w:lang w:val="es-AR"/>
        </w:rPr>
        <w:t xml:space="preserve">Breve desarrollo histórico de la silvicultura en </w:t>
      </w:r>
      <w:r>
        <w:rPr>
          <w:color w:val="1F2023"/>
          <w:lang w:val="es-AR"/>
        </w:rPr>
        <w:t>e</w:t>
      </w:r>
      <w:r>
        <w:rPr>
          <w:lang w:val="es-AR"/>
        </w:rPr>
        <w:t xml:space="preserve">corregión del Chaco </w:t>
      </w:r>
      <w:r>
        <w:rPr>
          <w:color w:val="1F2023"/>
          <w:lang w:val="es-AR"/>
        </w:rPr>
        <w:t>y Selva Paranaense.</w:t>
      </w:r>
    </w:p>
    <w:p w14:paraId="3CC7D4C0">
      <w:pPr>
        <w:spacing w:after="0" w:line="240" w:lineRule="auto"/>
        <w:jc w:val="both"/>
        <w:rPr>
          <w:color w:val="000000"/>
          <w:highlight w:val="yellow"/>
          <w:lang w:val="es-AR"/>
        </w:rPr>
      </w:pPr>
    </w:p>
    <w:p w14:paraId="00B00643">
      <w:pPr>
        <w:spacing w:after="0" w:line="240" w:lineRule="auto"/>
        <w:rPr>
          <w:b/>
          <w:bCs/>
          <w:color w:val="000000"/>
          <w:lang w:val="es-AR"/>
        </w:rPr>
      </w:pPr>
      <w:r>
        <w:rPr>
          <w:b/>
          <w:bCs/>
          <w:color w:val="000000"/>
          <w:lang w:val="es-AR"/>
        </w:rPr>
        <w:t>Silvicultura y Manejo Forestal: Conceptos y Objetivos</w:t>
      </w:r>
    </w:p>
    <w:p w14:paraId="74CAE23E">
      <w:pPr>
        <w:spacing w:after="0" w:line="240" w:lineRule="auto"/>
        <w:jc w:val="both"/>
        <w:rPr>
          <w:color w:val="000000"/>
          <w:lang w:val="es-AR"/>
        </w:rPr>
      </w:pPr>
    </w:p>
    <w:p w14:paraId="5CBADB6B">
      <w:pPr>
        <w:spacing w:after="0" w:line="240" w:lineRule="auto"/>
        <w:jc w:val="both"/>
        <w:rPr>
          <w:color w:val="000000"/>
          <w:lang w:val="es-AR"/>
        </w:rPr>
      </w:pPr>
      <w:r>
        <w:rPr>
          <w:color w:val="000000"/>
          <w:lang w:val="es-AR"/>
        </w:rPr>
        <w:t>Bases ecológicas para la silvicultura: Gradientes ambientales en el bosque, implicancias para el manejo. Grupos ecológicos de especies nativas. Claros en bosques manejados y respuesta de la vegetación. Estructura del bosque, principales parámetros como indicadores para el diagnóstico y manejo.</w:t>
      </w:r>
    </w:p>
    <w:p w14:paraId="6BD4E3AC">
      <w:pPr>
        <w:spacing w:after="0" w:line="240" w:lineRule="auto"/>
        <w:jc w:val="both"/>
        <w:rPr>
          <w:color w:val="000000"/>
          <w:lang w:val="es-AR"/>
        </w:rPr>
      </w:pPr>
      <w:r>
        <w:rPr>
          <w:color w:val="000000"/>
          <w:lang w:val="es-AR"/>
        </w:rPr>
        <w:t xml:space="preserve">Productos y Servicios. Relaciones con la planificación forestal. Definiciones de manejo forestal sostenible, silvicultura, tratamientos silvícolas, operaciones forestales, sistemas silvícolas, prescripción silvícola. Puntos críticos y desafíos del manejo de bosques nativos. </w:t>
      </w:r>
    </w:p>
    <w:p w14:paraId="0A72B58A">
      <w:pPr>
        <w:spacing w:after="0" w:line="240" w:lineRule="auto"/>
        <w:rPr>
          <w:color w:val="000000"/>
          <w:lang w:val="es-AR"/>
        </w:rPr>
      </w:pPr>
    </w:p>
    <w:p w14:paraId="33CD394D">
      <w:pPr>
        <w:spacing w:after="0" w:line="240" w:lineRule="auto"/>
        <w:rPr>
          <w:b/>
          <w:bCs/>
          <w:color w:val="000000"/>
          <w:lang w:val="es-AR"/>
        </w:rPr>
      </w:pPr>
      <w:r>
        <w:rPr>
          <w:b/>
          <w:bCs/>
          <w:color w:val="000000"/>
          <w:lang w:val="es-AR"/>
        </w:rPr>
        <w:t>Planificación Forestal</w:t>
      </w:r>
    </w:p>
    <w:p w14:paraId="26D0C746">
      <w:pPr>
        <w:spacing w:after="0" w:line="240" w:lineRule="auto"/>
        <w:rPr>
          <w:b/>
          <w:bCs/>
          <w:color w:val="000000"/>
          <w:lang w:val="es-AR"/>
        </w:rPr>
      </w:pPr>
    </w:p>
    <w:p w14:paraId="7AFF00BF">
      <w:pPr>
        <w:spacing w:after="0" w:line="240" w:lineRule="auto"/>
        <w:jc w:val="both"/>
        <w:rPr>
          <w:color w:val="000000"/>
          <w:lang w:val="es-AR"/>
        </w:rPr>
      </w:pPr>
      <w:r>
        <w:rPr>
          <w:color w:val="000000"/>
          <w:lang w:val="es-AR"/>
        </w:rPr>
        <w:t>Tipos de planificación: estratégica, táctica, operacional, a largo plazo, mediano y corto plazo, a nivel de bosque y rodal.</w:t>
      </w:r>
    </w:p>
    <w:p w14:paraId="68974F90">
      <w:pPr>
        <w:spacing w:after="0" w:line="240" w:lineRule="auto"/>
        <w:jc w:val="both"/>
        <w:rPr>
          <w:color w:val="000000"/>
          <w:lang w:val="es-AR"/>
        </w:rPr>
      </w:pPr>
      <w:r>
        <w:rPr>
          <w:color w:val="000000"/>
          <w:lang w:val="es-AR"/>
        </w:rPr>
        <w:t xml:space="preserve">Marco legal y político para el manejo forestal (legislación nacional, leyes provinciales, </w:t>
      </w:r>
      <w:r>
        <w:rPr>
          <w:lang w:val="es-AR"/>
        </w:rPr>
        <w:t>n</w:t>
      </w:r>
      <w:r>
        <w:rPr>
          <w:color w:val="000000"/>
          <w:lang w:val="es-AR"/>
        </w:rPr>
        <w:t xml:space="preserve">uevas propuestas de planificación a escala de paisaje </w:t>
      </w:r>
      <w:r>
        <w:rPr>
          <w:lang w:val="es-AR"/>
        </w:rPr>
        <w:t>e interpredial, C</w:t>
      </w:r>
      <w:r>
        <w:rPr>
          <w:color w:val="000000"/>
          <w:lang w:val="es-AR"/>
        </w:rPr>
        <w:t>uenca y PIC)</w:t>
      </w:r>
      <w:r>
        <w:rPr>
          <w:lang w:val="es-AR"/>
        </w:rPr>
        <w:t>.</w:t>
      </w:r>
      <w:r>
        <w:rPr>
          <w:color w:val="000000"/>
          <w:lang w:val="es-AR"/>
        </w:rPr>
        <w:t xml:space="preserve"> </w:t>
      </w:r>
      <w:r>
        <w:rPr>
          <w:lang w:val="es-AR"/>
        </w:rPr>
        <w:t>N</w:t>
      </w:r>
      <w:r>
        <w:rPr>
          <w:color w:val="000000"/>
          <w:lang w:val="es-AR"/>
        </w:rPr>
        <w:t>uevos acuerdos para planes silvopastoriles (MBGI). Guías y manuales de apoyo para el manejo forestal de los bosques.</w:t>
      </w:r>
    </w:p>
    <w:p w14:paraId="18500399">
      <w:pPr>
        <w:spacing w:after="0" w:line="240" w:lineRule="auto"/>
        <w:jc w:val="both"/>
        <w:rPr>
          <w:i/>
          <w:iCs/>
          <w:color w:val="000000"/>
          <w:lang w:val="es-AR"/>
        </w:rPr>
      </w:pPr>
    </w:p>
    <w:p w14:paraId="16428E81">
      <w:pPr>
        <w:spacing w:after="0" w:line="240" w:lineRule="auto"/>
        <w:jc w:val="both"/>
        <w:rPr>
          <w:i/>
          <w:iCs/>
          <w:color w:val="000000"/>
          <w:lang w:val="es-AR"/>
        </w:rPr>
      </w:pPr>
      <w:r>
        <w:rPr>
          <w:i/>
          <w:iCs/>
          <w:color w:val="000000"/>
          <w:lang w:val="es-AR"/>
        </w:rPr>
        <w:t>Ejemplos de aplicación:</w:t>
      </w:r>
    </w:p>
    <w:p w14:paraId="54318E9C">
      <w:pPr>
        <w:spacing w:after="0" w:line="240" w:lineRule="auto"/>
        <w:jc w:val="both"/>
        <w:rPr>
          <w:color w:val="000000"/>
          <w:lang w:val="es-AR"/>
        </w:rPr>
      </w:pPr>
      <w:r>
        <w:rPr>
          <w:color w:val="000000"/>
          <w:lang w:val="es-AR"/>
        </w:rPr>
        <w:t>Abordaje de la Cuenca Forestal Monte Quemado</w:t>
      </w:r>
      <w:r>
        <w:rPr>
          <w:lang w:val="es-AR"/>
        </w:rPr>
        <w:t>.</w:t>
      </w:r>
      <w:r>
        <w:rPr>
          <w:color w:val="000000"/>
          <w:lang w:val="es-AR"/>
        </w:rPr>
        <w:t xml:space="preserve"> Experiencias PIC y MBGI en Santiago del Estero.</w:t>
      </w:r>
    </w:p>
    <w:p w14:paraId="381AF6E4">
      <w:pPr>
        <w:spacing w:after="0" w:line="240" w:lineRule="auto"/>
        <w:jc w:val="both"/>
        <w:rPr>
          <w:color w:val="000000"/>
          <w:lang w:val="es-AR"/>
        </w:rPr>
      </w:pPr>
      <w:r>
        <w:rPr>
          <w:color w:val="000000"/>
          <w:lang w:val="es-AR"/>
        </w:rPr>
        <w:t>Abordaje de la Cuenca Forestal Yaboti</w:t>
      </w:r>
    </w:p>
    <w:p w14:paraId="10EC0A4E">
      <w:pPr>
        <w:spacing w:after="0" w:line="240" w:lineRule="auto"/>
        <w:jc w:val="both"/>
        <w:rPr>
          <w:color w:val="000000"/>
          <w:lang w:val="es-AR"/>
        </w:rPr>
      </w:pPr>
    </w:p>
    <w:p w14:paraId="02F99F82">
      <w:pPr>
        <w:spacing w:after="0" w:line="240" w:lineRule="auto"/>
        <w:rPr>
          <w:b/>
          <w:bCs/>
          <w:color w:val="000000"/>
          <w:lang w:val="es-AR"/>
        </w:rPr>
      </w:pPr>
      <w:r>
        <w:rPr>
          <w:b/>
          <w:bCs/>
          <w:color w:val="000000"/>
          <w:lang w:val="es-AR"/>
        </w:rPr>
        <w:t>Sistemas Silvícolas. Tratamientos silvícolas</w:t>
      </w:r>
    </w:p>
    <w:p w14:paraId="4214523E">
      <w:pPr>
        <w:spacing w:after="0" w:line="240" w:lineRule="auto"/>
        <w:rPr>
          <w:color w:val="000000"/>
          <w:lang w:val="es-AR"/>
        </w:rPr>
      </w:pPr>
    </w:p>
    <w:p w14:paraId="7D610198">
      <w:pPr>
        <w:spacing w:after="0" w:line="240" w:lineRule="auto"/>
        <w:rPr>
          <w:color w:val="000000"/>
          <w:lang w:val="es-AR"/>
        </w:rPr>
      </w:pPr>
      <w:r>
        <w:rPr>
          <w:color w:val="000000"/>
          <w:lang w:val="es-AR"/>
        </w:rPr>
        <w:t xml:space="preserve">Clasificaciones de sistemas silvícolas y componentes fundamentales. Sistemas Monocíclicos y Policíclicos. Sistemas de entresaca selectiva. Métodos de cosecha.    </w:t>
      </w:r>
    </w:p>
    <w:p w14:paraId="50BDF65D">
      <w:pPr>
        <w:spacing w:after="0" w:line="240" w:lineRule="auto"/>
        <w:rPr>
          <w:color w:val="000000"/>
          <w:lang w:val="es-AR"/>
        </w:rPr>
      </w:pPr>
      <w:r>
        <w:rPr>
          <w:color w:val="000000"/>
          <w:lang w:val="es-AR"/>
        </w:rPr>
        <w:t xml:space="preserve">Diagnóstico del estado silvícola del bosque. Árbol de futura cosecha. Liberación, Refinamiento, Raleos, corta de lianas, cortas de mejora, enriquecimiento. Tratamientos dirigidos a la regeneración natural. Técnicas de anillamiento. </w:t>
      </w:r>
    </w:p>
    <w:p w14:paraId="0738AFAB">
      <w:pPr>
        <w:spacing w:after="0" w:line="240" w:lineRule="auto"/>
        <w:rPr>
          <w:color w:val="000000"/>
          <w:lang w:val="es-AR"/>
        </w:rPr>
      </w:pPr>
    </w:p>
    <w:p w14:paraId="09F37944">
      <w:pPr>
        <w:spacing w:after="0" w:line="240" w:lineRule="auto"/>
        <w:rPr>
          <w:color w:val="000000"/>
          <w:lang w:val="es-AR"/>
        </w:rPr>
      </w:pPr>
    </w:p>
    <w:p w14:paraId="42A5FA4F">
      <w:pPr>
        <w:spacing w:after="0" w:line="240" w:lineRule="auto"/>
        <w:rPr>
          <w:color w:val="000000"/>
          <w:lang w:val="es-AR"/>
        </w:rPr>
      </w:pPr>
      <w:r>
        <w:rPr>
          <w:i/>
          <w:iCs/>
          <w:color w:val="000000"/>
          <w:lang w:val="es-AR"/>
        </w:rPr>
        <w:t>Ejemplos de aplicación</w:t>
      </w:r>
      <w:r>
        <w:rPr>
          <w:color w:val="000000"/>
          <w:lang w:val="es-AR"/>
        </w:rPr>
        <w:t>:</w:t>
      </w:r>
    </w:p>
    <w:p w14:paraId="4EA1B1EC">
      <w:pPr>
        <w:spacing w:after="0" w:line="240" w:lineRule="auto"/>
        <w:rPr>
          <w:color w:val="000000"/>
          <w:lang w:val="es-AR"/>
        </w:rPr>
      </w:pPr>
      <w:r>
        <w:rPr>
          <w:color w:val="000000"/>
          <w:lang w:val="es-AR"/>
        </w:rPr>
        <w:t xml:space="preserve">-Caracterización y análisis del estado actual de la sostenibilidad del manejo de la Selva Paranaense. Control de lianas y tacuaras como técnica silvicultural. </w:t>
      </w:r>
    </w:p>
    <w:p w14:paraId="5710FC1E">
      <w:pPr>
        <w:spacing w:after="0" w:line="240" w:lineRule="auto"/>
        <w:rPr>
          <w:color w:val="000000"/>
          <w:lang w:val="es-AR"/>
        </w:rPr>
      </w:pPr>
      <w:r>
        <w:rPr>
          <w:color w:val="000000"/>
          <w:lang w:val="es-AR"/>
        </w:rPr>
        <w:t xml:space="preserve">-Caracterización y análisis del estado actual de la sostenibilidad del manejo de Bosques del Chaco  </w:t>
      </w:r>
    </w:p>
    <w:p w14:paraId="5DCF7277">
      <w:pPr>
        <w:spacing w:after="0" w:line="240" w:lineRule="auto"/>
        <w:rPr>
          <w:color w:val="000000"/>
          <w:lang w:val="es-AR"/>
        </w:rPr>
      </w:pPr>
    </w:p>
    <w:p w14:paraId="7160CC4C">
      <w:pPr>
        <w:spacing w:after="0" w:line="240" w:lineRule="auto"/>
        <w:rPr>
          <w:b/>
          <w:bCs/>
          <w:color w:val="000000"/>
          <w:lang w:val="es-AR"/>
        </w:rPr>
      </w:pPr>
      <w:r>
        <w:rPr>
          <w:b/>
          <w:bCs/>
          <w:color w:val="000000"/>
          <w:lang w:val="es-AR"/>
        </w:rPr>
        <w:t xml:space="preserve">Regeneración Natural </w:t>
      </w:r>
    </w:p>
    <w:p w14:paraId="4EE68427">
      <w:pPr>
        <w:spacing w:after="0" w:line="240" w:lineRule="auto"/>
        <w:rPr>
          <w:b/>
          <w:bCs/>
          <w:color w:val="000000"/>
          <w:lang w:val="es-AR"/>
        </w:rPr>
      </w:pPr>
    </w:p>
    <w:p w14:paraId="0C824A52">
      <w:pPr>
        <w:spacing w:after="0" w:line="240" w:lineRule="auto"/>
        <w:jc w:val="both"/>
        <w:rPr>
          <w:color w:val="000000"/>
          <w:lang w:val="es-AR"/>
        </w:rPr>
      </w:pPr>
      <w:r>
        <w:rPr>
          <w:color w:val="000000"/>
          <w:lang w:val="es-AR"/>
        </w:rPr>
        <w:t xml:space="preserve">Fases. Filtros y factores para la regeneración natural. Factores ambientales, dispersión y procesos de densidad dependencia negativa. La tala selectiva y sus efectos sobre la regeneración. Mecanismos para garantizar la regeneración en bosques manejados. Árboles semilleros. Técnicas para el manejo y promoción de la regeneración natural </w:t>
      </w:r>
    </w:p>
    <w:p w14:paraId="7EF56C4B">
      <w:pPr>
        <w:spacing w:after="0" w:line="240" w:lineRule="auto"/>
        <w:jc w:val="both"/>
        <w:rPr>
          <w:color w:val="000000"/>
          <w:lang w:val="es-AR"/>
        </w:rPr>
      </w:pPr>
    </w:p>
    <w:p w14:paraId="22651CB6">
      <w:pPr>
        <w:spacing w:after="0" w:line="240" w:lineRule="auto"/>
        <w:rPr>
          <w:i/>
          <w:iCs/>
          <w:color w:val="000000"/>
          <w:lang w:val="es-AR"/>
        </w:rPr>
      </w:pPr>
      <w:r>
        <w:rPr>
          <w:i/>
          <w:iCs/>
          <w:color w:val="000000"/>
          <w:lang w:val="es-AR"/>
        </w:rPr>
        <w:t>Ejemplos de aplicación:</w:t>
      </w:r>
    </w:p>
    <w:p w14:paraId="17194CB7">
      <w:pPr>
        <w:spacing w:after="0" w:line="240" w:lineRule="auto"/>
        <w:rPr>
          <w:color w:val="000000"/>
          <w:lang w:val="es-AR"/>
        </w:rPr>
      </w:pPr>
      <w:r>
        <w:rPr>
          <w:color w:val="000000"/>
          <w:lang w:val="es-AR"/>
        </w:rPr>
        <w:t xml:space="preserve">Experiencias de promoción de la regeneración en bosques del Chaco y Selva </w:t>
      </w:r>
      <w:r>
        <w:rPr>
          <w:lang w:val="es-AR"/>
        </w:rPr>
        <w:t xml:space="preserve">Paranaense </w:t>
      </w:r>
    </w:p>
    <w:p w14:paraId="2F7EA44C">
      <w:pPr>
        <w:spacing w:after="0" w:line="240" w:lineRule="auto"/>
        <w:rPr>
          <w:color w:val="000000"/>
          <w:lang w:val="es-AR"/>
        </w:rPr>
      </w:pPr>
    </w:p>
    <w:p w14:paraId="59FC5FF9">
      <w:pPr>
        <w:spacing w:after="0" w:line="240" w:lineRule="auto"/>
        <w:rPr>
          <w:b/>
          <w:bCs/>
          <w:color w:val="000000"/>
          <w:lang w:val="es-AR"/>
        </w:rPr>
      </w:pPr>
      <w:r>
        <w:rPr>
          <w:b/>
          <w:bCs/>
          <w:color w:val="000000"/>
          <w:lang w:val="es-AR"/>
        </w:rPr>
        <w:t>Bosques Nativos Secundarios y Recuperación de Bosques Degradados</w:t>
      </w:r>
    </w:p>
    <w:p w14:paraId="4D8DCCBF">
      <w:pPr>
        <w:spacing w:after="0" w:line="240" w:lineRule="auto"/>
        <w:rPr>
          <w:b/>
          <w:bCs/>
          <w:color w:val="000000"/>
          <w:lang w:val="es-AR"/>
        </w:rPr>
      </w:pPr>
    </w:p>
    <w:p w14:paraId="3B46B10B">
      <w:pPr>
        <w:spacing w:after="0" w:line="240" w:lineRule="auto"/>
        <w:jc w:val="both"/>
        <w:rPr>
          <w:color w:val="000000"/>
          <w:lang w:val="es-AR"/>
        </w:rPr>
      </w:pPr>
      <w:r>
        <w:rPr>
          <w:color w:val="000000"/>
          <w:lang w:val="es-AR"/>
        </w:rPr>
        <w:t xml:space="preserve">Características ecológicas y etapas de desarrollo de los bosques secundarios. Bosques secundarios y bosques primarios degradados: características, diferencias y similitudes. Implicancias para el manejo silvícola. Sistemas silvícolas y tratamientos para bosques secundarios y primarios degradados. </w:t>
      </w:r>
    </w:p>
    <w:p w14:paraId="6A46C13D">
      <w:pPr>
        <w:spacing w:after="0" w:line="240" w:lineRule="auto"/>
        <w:jc w:val="both"/>
        <w:rPr>
          <w:lang w:val="es-AR"/>
        </w:rPr>
      </w:pPr>
      <w:r>
        <w:rPr>
          <w:lang w:val="es-AR"/>
        </w:rPr>
        <w:t xml:space="preserve">Silvicultura aplicada a especies nativas de alto valor: domesticación, viverización e implantación de especies nativas como estrategia de manejo y restauración. </w:t>
      </w:r>
    </w:p>
    <w:p w14:paraId="593B7A27">
      <w:pPr>
        <w:spacing w:after="0" w:line="240" w:lineRule="auto"/>
        <w:rPr>
          <w:lang w:val="es-AR"/>
        </w:rPr>
      </w:pPr>
    </w:p>
    <w:p w14:paraId="52627DA1">
      <w:pPr>
        <w:spacing w:after="0" w:line="240" w:lineRule="auto"/>
        <w:rPr>
          <w:color w:val="000000"/>
          <w:lang w:val="es-AR"/>
        </w:rPr>
      </w:pPr>
      <w:r>
        <w:rPr>
          <w:i/>
          <w:iCs/>
          <w:color w:val="000000"/>
          <w:lang w:val="es-AR"/>
        </w:rPr>
        <w:t>Ejemplos de aplicación</w:t>
      </w:r>
      <w:r>
        <w:rPr>
          <w:color w:val="000000"/>
          <w:lang w:val="es-AR"/>
        </w:rPr>
        <w:t>:</w:t>
      </w:r>
    </w:p>
    <w:p w14:paraId="775153F1">
      <w:pPr>
        <w:spacing w:after="0" w:line="240" w:lineRule="auto"/>
        <w:rPr>
          <w:color w:val="000000"/>
          <w:lang w:val="es-AR"/>
        </w:rPr>
      </w:pPr>
      <w:r>
        <w:rPr>
          <w:color w:val="000000"/>
          <w:lang w:val="es-AR"/>
        </w:rPr>
        <w:t>Estudios de caso de la ecología y productividad de los bosques secundarios en Misiones.</w:t>
      </w:r>
    </w:p>
    <w:p w14:paraId="7A7192A2">
      <w:pPr>
        <w:spacing w:after="0" w:line="240" w:lineRule="auto"/>
        <w:rPr>
          <w:color w:val="000000"/>
          <w:lang w:val="es-AR"/>
        </w:rPr>
      </w:pPr>
      <w:r>
        <w:rPr>
          <w:color w:val="000000"/>
          <w:lang w:val="es-AR"/>
        </w:rPr>
        <w:t>Estudios de caso de la recuperación del potencial productivo de los bosques secundarios en Santiago del Estero.</w:t>
      </w:r>
    </w:p>
    <w:p w14:paraId="43173CD4">
      <w:pPr>
        <w:spacing w:after="0" w:line="240" w:lineRule="auto"/>
        <w:rPr>
          <w:color w:val="000000"/>
          <w:lang w:val="es-AR"/>
        </w:rPr>
      </w:pPr>
      <w:r>
        <w:rPr>
          <w:color w:val="000000"/>
          <w:lang w:val="es-AR"/>
        </w:rPr>
        <w:t>Recuperación de áreas degradadas mediante plantaciones de especies nativas.</w:t>
      </w:r>
    </w:p>
    <w:p w14:paraId="4A0104A1">
      <w:pPr>
        <w:spacing w:after="0" w:line="240" w:lineRule="auto"/>
        <w:rPr>
          <w:lang w:val="es-AR"/>
        </w:rPr>
      </w:pPr>
    </w:p>
    <w:p w14:paraId="452DCF8B">
      <w:pPr>
        <w:spacing w:after="0" w:line="240" w:lineRule="auto"/>
        <w:rPr>
          <w:b/>
          <w:bCs/>
          <w:color w:val="000000"/>
          <w:lang w:val="es-AR"/>
        </w:rPr>
      </w:pPr>
      <w:r>
        <w:rPr>
          <w:b/>
          <w:bCs/>
          <w:color w:val="000000"/>
          <w:lang w:val="es-AR"/>
        </w:rPr>
        <w:t>Certificación Forestal</w:t>
      </w:r>
    </w:p>
    <w:p w14:paraId="2D17B157">
      <w:pPr>
        <w:spacing w:after="0" w:line="240" w:lineRule="auto"/>
        <w:rPr>
          <w:b/>
          <w:bCs/>
          <w:color w:val="000000"/>
          <w:lang w:val="es-AR"/>
        </w:rPr>
      </w:pPr>
    </w:p>
    <w:p w14:paraId="42930367">
      <w:pPr>
        <w:spacing w:after="0" w:line="240" w:lineRule="auto"/>
        <w:jc w:val="both"/>
        <w:rPr>
          <w:color w:val="000000"/>
          <w:lang w:val="es-AR"/>
        </w:rPr>
      </w:pPr>
      <w:r>
        <w:rPr>
          <w:color w:val="000000"/>
          <w:lang w:val="es-AR"/>
        </w:rPr>
        <w:t>Motivos para certificar los bosques. Historia de la certificación forestal. Beneficios. Sistemas nacionales, regionales e internacionales de certificación: PEFC, FSC, CERFOAR, Australian FORESTRY Standard, mtcc, ATFS, LEI, SFI. Tipos: manejo forestal, cadena de custodia, madera controlada. Proceso de certificación. Principios, criterios e indicadores del FSC y PEFC. Tipos de sellos.</w:t>
      </w:r>
    </w:p>
    <w:p w14:paraId="50D47575">
      <w:pPr>
        <w:spacing w:after="0" w:line="240" w:lineRule="auto"/>
        <w:jc w:val="both"/>
        <w:rPr>
          <w:color w:val="000000"/>
          <w:lang w:val="es-AR"/>
        </w:rPr>
      </w:pPr>
    </w:p>
    <w:p w14:paraId="2507B119">
      <w:pPr>
        <w:spacing w:after="0" w:line="240" w:lineRule="auto"/>
        <w:rPr>
          <w:b/>
          <w:bCs/>
          <w:color w:val="000000"/>
          <w:lang w:val="es-AR"/>
        </w:rPr>
      </w:pPr>
      <w:r>
        <w:rPr>
          <w:b/>
          <w:bCs/>
          <w:color w:val="000000"/>
          <w:lang w:val="es-AR"/>
        </w:rPr>
        <w:t>Proyectos de Carbono</w:t>
      </w:r>
    </w:p>
    <w:p w14:paraId="24A5EA40">
      <w:pPr>
        <w:spacing w:after="0" w:line="240" w:lineRule="auto"/>
        <w:rPr>
          <w:b/>
          <w:bCs/>
          <w:color w:val="000000"/>
          <w:lang w:val="es-AR"/>
        </w:rPr>
      </w:pPr>
    </w:p>
    <w:p w14:paraId="16FCEE00">
      <w:pPr>
        <w:spacing w:after="0" w:line="240" w:lineRule="auto"/>
        <w:jc w:val="both"/>
        <w:rPr>
          <w:color w:val="000000"/>
          <w:lang w:val="es-AR"/>
        </w:rPr>
      </w:pPr>
      <w:r>
        <w:rPr>
          <w:color w:val="000000"/>
          <w:lang w:val="es-AR"/>
        </w:rPr>
        <w:t>Bosques y cambio climático. Mitigación, adaptación y compensación. Planes, programas y proyectos de carbono. Reservorios de carbono. Almacenamiento, emisiones y remociones. Mercados de carbono. Tipos de proyectos de carbono y metodologías. Adicionalidad. Cuantificación del almacenamiento de carbono en árboles. Relación estructura - almacenamiento de carbono. Oportunidades para el sector forestal.</w:t>
      </w:r>
    </w:p>
    <w:p w14:paraId="22C9E6B6">
      <w:pPr>
        <w:spacing w:after="0" w:line="240" w:lineRule="auto"/>
        <w:jc w:val="both"/>
        <w:rPr>
          <w:i/>
          <w:iCs/>
          <w:color w:val="000000"/>
          <w:lang w:val="es-AR"/>
        </w:rPr>
      </w:pPr>
    </w:p>
    <w:p w14:paraId="5BDDD42B">
      <w:pPr>
        <w:spacing w:after="0" w:line="240" w:lineRule="auto"/>
        <w:jc w:val="both"/>
        <w:rPr>
          <w:i/>
          <w:iCs/>
          <w:color w:val="000000"/>
          <w:lang w:val="es-AR"/>
        </w:rPr>
      </w:pPr>
      <w:r>
        <w:rPr>
          <w:i/>
          <w:iCs/>
          <w:color w:val="000000"/>
          <w:lang w:val="es-AR"/>
        </w:rPr>
        <w:t>Ejemplos de aplicación:</w:t>
      </w:r>
    </w:p>
    <w:p w14:paraId="21A77578">
      <w:pPr>
        <w:spacing w:after="0" w:line="240" w:lineRule="auto"/>
        <w:jc w:val="both"/>
        <w:rPr>
          <w:color w:val="000000"/>
          <w:lang w:val="es-AR"/>
        </w:rPr>
      </w:pPr>
      <w:r>
        <w:rPr>
          <w:color w:val="000000"/>
          <w:lang w:val="es-AR"/>
        </w:rPr>
        <w:t>Análisis de proyectos vigentes REDD, IFM y ARR del NOA y NEA</w:t>
      </w:r>
    </w:p>
    <w:p w14:paraId="51C36CBE">
      <w:pPr>
        <w:spacing w:after="0" w:line="240" w:lineRule="auto"/>
        <w:rPr>
          <w:color w:val="000000"/>
          <w:lang w:val="es-AR"/>
        </w:rPr>
      </w:pPr>
    </w:p>
    <w:p w14:paraId="3EC3B591">
      <w:pPr>
        <w:widowControl w:val="0"/>
        <w:numPr>
          <w:ilvl w:val="0"/>
          <w:numId w:val="1"/>
        </w:numPr>
        <w:suppressAutoHyphens/>
        <w:spacing w:after="0" w:line="240" w:lineRule="auto"/>
        <w:rPr>
          <w:b/>
          <w:bCs/>
          <w:color w:val="000000"/>
        </w:rPr>
      </w:pPr>
      <w:r>
        <w:rPr>
          <w:b/>
          <w:bCs/>
          <w:color w:val="000000"/>
        </w:rPr>
        <w:t xml:space="preserve">Bibliografía </w:t>
      </w:r>
    </w:p>
    <w:p w14:paraId="1FC30522">
      <w:pPr>
        <w:spacing w:after="0" w:line="240" w:lineRule="auto"/>
        <w:rPr>
          <w:color w:val="000000"/>
        </w:rPr>
      </w:pPr>
    </w:p>
    <w:p w14:paraId="7250EF4E">
      <w:pPr>
        <w:spacing w:after="0" w:line="240" w:lineRule="auto"/>
        <w:ind w:left="40" w:hanging="20"/>
        <w:jc w:val="both"/>
        <w:rPr>
          <w:lang w:val="es-AR"/>
        </w:rPr>
      </w:pPr>
      <w:r>
        <w:rPr>
          <w:lang w:val="es-AR"/>
        </w:rPr>
        <w:t xml:space="preserve">AMARAL, P.; VERÍSSIMO, A.; BARRETO, P. &amp; VIDAL, E. (1998). </w:t>
      </w:r>
      <w:r>
        <w:rPr>
          <w:i/>
          <w:iCs/>
          <w:lang w:val="es-AR"/>
        </w:rPr>
        <w:t>Floresta para Sempre: Um Manual para a Produção de Madeira na Amazônia</w:t>
      </w:r>
      <w:r>
        <w:rPr>
          <w:lang w:val="es-AR"/>
        </w:rPr>
        <w:t>. Imazon. 130 p.</w:t>
      </w:r>
    </w:p>
    <w:p w14:paraId="45990C19">
      <w:pPr>
        <w:spacing w:after="0" w:line="240" w:lineRule="auto"/>
        <w:ind w:left="40" w:hanging="20"/>
        <w:jc w:val="both"/>
        <w:rPr>
          <w:lang w:val="es-AR"/>
        </w:rPr>
      </w:pPr>
      <w:r>
        <w:rPr>
          <w:lang w:val="es-AR"/>
        </w:rPr>
        <w:t xml:space="preserve">BACALINI, P; DUMMEL, C. &amp; BURKART, R. (2009). Proyecto: Ensayo de Técnicas simples de manejo para el aumento de la productividad de madera y conservación de la biodiversidad en la Selva Misionera. Evaluación de resultados sobre la regeneración natural de especies arbóreas. En: B. Carpinetti, M. Garciarena &amp; M. Almirón (Eds.), </w:t>
      </w:r>
      <w:r>
        <w:rPr>
          <w:i/>
          <w:iCs/>
          <w:lang w:val="es-AR"/>
        </w:rPr>
        <w:t>Parque Nacional Iguazú. Conservación y desarrollo en la Selva Paranaense de Argentina</w:t>
      </w:r>
      <w:r>
        <w:rPr>
          <w:lang w:val="es-AR"/>
        </w:rPr>
        <w:t>. (pp. 165-180).</w:t>
      </w:r>
    </w:p>
    <w:p w14:paraId="4939A0D3">
      <w:pPr>
        <w:spacing w:after="0" w:line="240" w:lineRule="auto"/>
        <w:ind w:left="40" w:right="280" w:hanging="20"/>
        <w:jc w:val="both"/>
        <w:rPr>
          <w:lang w:val="es-AR"/>
        </w:rPr>
      </w:pPr>
      <w:r>
        <w:rPr>
          <w:lang w:val="es-AR"/>
        </w:rPr>
        <w:t xml:space="preserve">BALDUCCI, E. D.; ELIANO, P.; IZA, H. R. &amp; SOSA, I. A. (2012). </w:t>
      </w:r>
      <w:r>
        <w:rPr>
          <w:i/>
          <w:iCs/>
          <w:lang w:val="es-AR"/>
        </w:rPr>
        <w:t>Bases para el manejo sostenible de los bosques nativos de Jujuy</w:t>
      </w:r>
      <w:r>
        <w:rPr>
          <w:lang w:val="es-AR"/>
        </w:rPr>
        <w:t>. INCOTEDES. 206 p. ISBN: 978-987-28804-0-8.</w:t>
      </w:r>
    </w:p>
    <w:p w14:paraId="700AAB40">
      <w:pPr>
        <w:spacing w:after="0" w:line="240" w:lineRule="auto"/>
        <w:ind w:left="40" w:right="80" w:hanging="20"/>
        <w:jc w:val="both"/>
        <w:rPr>
          <w:lang w:val="es-AR"/>
        </w:rPr>
      </w:pPr>
      <w:r>
        <w:rPr>
          <w:lang w:val="es-AR"/>
        </w:rPr>
        <w:t xml:space="preserve">BRASSIOLO, M.; ARAUJO, P.; DÍAZ LANNES, F. &amp; BONELLI, L. (2017). </w:t>
      </w:r>
      <w:r>
        <w:rPr>
          <w:i/>
          <w:iCs/>
          <w:lang w:val="es-AR"/>
        </w:rPr>
        <w:t>Guías de Buenas Prácticas para Uso del Bosque en la Provincia de Santiago del Estero</w:t>
      </w:r>
      <w:r>
        <w:rPr>
          <w:lang w:val="es-AR"/>
        </w:rPr>
        <w:t>. Gobierno de la provincia de Santiago del Estero.</w:t>
      </w:r>
    </w:p>
    <w:p w14:paraId="6EB1C856">
      <w:pPr>
        <w:spacing w:after="0" w:line="240" w:lineRule="auto"/>
        <w:ind w:left="40" w:right="80" w:hanging="20"/>
        <w:jc w:val="both"/>
        <w:rPr>
          <w:lang w:val="es-AR"/>
        </w:rPr>
      </w:pPr>
      <w:r>
        <w:rPr>
          <w:lang w:val="es-AR"/>
        </w:rPr>
        <w:t xml:space="preserve">BRASSIOLO, M.; ABT, M. &amp; GRULKE, M. (2013). </w:t>
      </w:r>
      <w:r>
        <w:rPr>
          <w:i/>
          <w:iCs/>
          <w:lang w:val="es-AR"/>
        </w:rPr>
        <w:t>Bosques Nativos: Manuales de Buenas Prácticas y Propuestas de Producción Sostenible. Ecorregión Forestal Parque Chaqueño</w:t>
      </w:r>
      <w:r>
        <w:rPr>
          <w:lang w:val="es-AR"/>
        </w:rPr>
        <w:t>. Secretaría de Medio Ambiente y Desarrollo Sostenible. 173 p.</w:t>
      </w:r>
    </w:p>
    <w:p w14:paraId="6C390A37">
      <w:pPr>
        <w:spacing w:after="0" w:line="240" w:lineRule="auto"/>
        <w:ind w:left="40" w:hanging="20"/>
        <w:jc w:val="both"/>
        <w:rPr>
          <w:lang w:val="es-AR"/>
        </w:rPr>
      </w:pPr>
      <w:r>
        <w:rPr>
          <w:lang w:val="es-AR"/>
        </w:rPr>
        <w:t xml:space="preserve">CAMPANELLO, P .I.; VON BELOW, J.; HILGERT, N.; COKLE, K.; VILLAGRA, M.; DI FRANCESCANTONIO, D.; GRACIA, D.; JARAMILLO, M.; GAUTO, O. &amp; GOLDSTEIN, G. (2019). ¿Es posible el uso sostenible del bosque en Misiones? Necesidades de manejo a diferentes escalas, investigación, intervenciones de alto impacto y más recursos económicos. </w:t>
      </w:r>
      <w:r>
        <w:rPr>
          <w:i/>
          <w:iCs/>
          <w:lang w:val="es-AR"/>
        </w:rPr>
        <w:t>Ecología Austral</w:t>
      </w:r>
      <w:r>
        <w:rPr>
          <w:lang w:val="es-AR"/>
        </w:rPr>
        <w:t xml:space="preserve">, 29(1), 122-137. </w:t>
      </w:r>
    </w:p>
    <w:p w14:paraId="5E9929A6">
      <w:pPr>
        <w:spacing w:after="0" w:line="240" w:lineRule="auto"/>
        <w:ind w:left="40" w:right="80" w:hanging="20"/>
        <w:jc w:val="both"/>
      </w:pPr>
      <w:r>
        <w:rPr>
          <w:lang w:val="es-AR"/>
        </w:rPr>
        <w:t xml:space="preserve">CARPINETTI, B.; GARCIARENA, M. &amp; Almirón, M. (2009). </w:t>
      </w:r>
      <w:r>
        <w:rPr>
          <w:i/>
          <w:iCs/>
          <w:lang w:val="es-AR"/>
        </w:rPr>
        <w:t>Parque Nacional Iguazú: Conservación y desarrollo en la Selva Paranaense de Argentina</w:t>
      </w:r>
      <w:r>
        <w:rPr>
          <w:lang w:val="es-AR"/>
        </w:rPr>
        <w:t xml:space="preserve">. </w:t>
      </w:r>
      <w:r>
        <w:t>Buenos Aires. 300p. ISBN: 978-987-1363-15-5</w:t>
      </w:r>
    </w:p>
    <w:p w14:paraId="4C188C75">
      <w:pPr>
        <w:spacing w:after="0" w:line="240" w:lineRule="auto"/>
        <w:ind w:left="40" w:hanging="20"/>
        <w:jc w:val="both"/>
      </w:pPr>
      <w:r>
        <w:t xml:space="preserve">FAO (2020). </w:t>
      </w:r>
      <w:r>
        <w:rPr>
          <w:i/>
          <w:iCs/>
        </w:rPr>
        <w:t>Global Forests Resources Assessment 2020: Main Report</w:t>
      </w:r>
      <w:r>
        <w:t xml:space="preserve">. FAO Forestry Paper 163. Rome. Disponible en: </w:t>
      </w:r>
      <w:r>
        <w:fldChar w:fldCharType="begin"/>
      </w:r>
      <w:r>
        <w:instrText xml:space="preserve"> HYPERLINK "http://www.fao.org/3/ca8642es/CA8642ES.pdf" \h </w:instrText>
      </w:r>
      <w:r>
        <w:fldChar w:fldCharType="separate"/>
      </w:r>
      <w:r>
        <w:rPr>
          <w:color w:val="1155CC"/>
          <w:u w:val="single"/>
        </w:rPr>
        <w:t>http://www.fao.org/3/ca8642es/CA8642ES.pdf</w:t>
      </w:r>
      <w:r>
        <w:rPr>
          <w:color w:val="1155CC"/>
          <w:u w:val="single"/>
        </w:rPr>
        <w:fldChar w:fldCharType="end"/>
      </w:r>
      <w:r>
        <w:t xml:space="preserve"> </w:t>
      </w:r>
    </w:p>
    <w:p w14:paraId="17FDCB34">
      <w:pPr>
        <w:spacing w:after="0" w:line="240" w:lineRule="auto"/>
        <w:ind w:left="40" w:hanging="20"/>
        <w:jc w:val="both"/>
        <w:rPr>
          <w:lang w:val="es-AR"/>
        </w:rPr>
      </w:pPr>
      <w:r>
        <w:t xml:space="preserve">GÓMEZ, C.; BRASSIOLO, M.; KESS, S. &amp; GUZMÁN, A. (2012). </w:t>
      </w:r>
      <w:r>
        <w:rPr>
          <w:lang w:val="es-AR"/>
        </w:rPr>
        <w:t xml:space="preserve">Efectos de diferentes intensidades y métodos de corta sobre la regeneración natural en el bosque alto del Chaco Húmedo. </w:t>
      </w:r>
      <w:r>
        <w:rPr>
          <w:i/>
          <w:iCs/>
          <w:lang w:val="es-AR"/>
        </w:rPr>
        <w:t>QUEBRACHO. Revista de Ciencias Forestales,</w:t>
      </w:r>
      <w:r>
        <w:rPr>
          <w:lang w:val="es-AR"/>
        </w:rPr>
        <w:t xml:space="preserve"> 20 (1,2), 60-67.</w:t>
      </w:r>
    </w:p>
    <w:p w14:paraId="504AF100">
      <w:pPr>
        <w:spacing w:after="0" w:line="240" w:lineRule="auto"/>
        <w:ind w:left="40" w:right="80" w:hanging="20"/>
        <w:jc w:val="both"/>
        <w:rPr>
          <w:lang w:val="es-AR"/>
        </w:rPr>
      </w:pPr>
      <w:r>
        <w:rPr>
          <w:lang w:val="es-AR"/>
        </w:rPr>
        <w:t xml:space="preserve">GÓMEZ, C. (2008). </w:t>
      </w:r>
      <w:r>
        <w:rPr>
          <w:i/>
          <w:iCs/>
          <w:lang w:val="es-AR"/>
        </w:rPr>
        <w:t>Efectos de diferentes métodos de raleo sobre la regeneración natural en el bosque alto del Chaco Húmedo</w:t>
      </w:r>
      <w:r>
        <w:rPr>
          <w:lang w:val="es-AR"/>
        </w:rPr>
        <w:t xml:space="preserve"> (Tesis de Maestría en Ciencias Forestales, orientación en Silvicultura y Manejo). Universidad Nacional de Misiones.</w:t>
      </w:r>
    </w:p>
    <w:p w14:paraId="14072257">
      <w:pPr>
        <w:spacing w:after="0" w:line="240" w:lineRule="auto"/>
        <w:ind w:left="40" w:hanging="20"/>
        <w:jc w:val="both"/>
        <w:rPr>
          <w:lang w:val="es-AR"/>
        </w:rPr>
      </w:pPr>
      <w:r>
        <w:rPr>
          <w:lang w:val="es-AR"/>
        </w:rPr>
        <w:t xml:space="preserve">GRULKE, M.; PÉREZ, P.; SISTIAGA, B. &amp; BRASSIOLO, M. (2013). </w:t>
      </w:r>
      <w:r>
        <w:rPr>
          <w:i/>
          <w:iCs/>
          <w:lang w:val="es-AR"/>
        </w:rPr>
        <w:t>Bosques Nativos: Manuales de Buenas Prácticas y Propuestas de Producción Sostenible. Ecorregión Forestal Selva Misionera</w:t>
      </w:r>
      <w:r>
        <w:rPr>
          <w:lang w:val="es-AR"/>
        </w:rPr>
        <w:t>. Secretaría de Medio Ambiente y Desarrollo Sostenible. 166 p.</w:t>
      </w:r>
    </w:p>
    <w:p w14:paraId="008C24B3">
      <w:pPr>
        <w:spacing w:after="0" w:line="240" w:lineRule="auto"/>
        <w:ind w:left="40" w:hanging="20"/>
        <w:jc w:val="both"/>
        <w:rPr>
          <w:lang w:val="es-AR"/>
        </w:rPr>
      </w:pPr>
      <w:r>
        <w:rPr>
          <w:lang w:val="es-AR"/>
        </w:rPr>
        <w:t xml:space="preserve">GRULKE, M.; DEL VALLE PÉRES, P.; LORENTE SISTIAGA, B &amp; BRASSIOLO, M. M. (2011). </w:t>
      </w:r>
      <w:r>
        <w:rPr>
          <w:i/>
          <w:iCs/>
          <w:lang w:val="es-AR"/>
        </w:rPr>
        <w:t>Prácticas forestales en los bosques nativos de la República Argentina: Ecorregión Forestal de Selva Misionera</w:t>
      </w:r>
      <w:r>
        <w:rPr>
          <w:lang w:val="es-AR"/>
        </w:rPr>
        <w:t>. Secretaria de Ambiente y Desarrollo Sustentable de la Nación. Buenos Aires. 166 pp.</w:t>
      </w:r>
    </w:p>
    <w:p w14:paraId="30938CEA">
      <w:pPr>
        <w:spacing w:after="0" w:line="240" w:lineRule="auto"/>
        <w:ind w:left="40" w:hanging="20"/>
        <w:jc w:val="both"/>
        <w:rPr>
          <w:lang w:val="es-AR"/>
        </w:rPr>
      </w:pPr>
      <w:r>
        <w:rPr>
          <w:lang w:val="es-AR"/>
        </w:rPr>
        <w:t xml:space="preserve">MAyDS (Ministerio de Ambiente y Desarrollo Sostenible de la Nación). 2020. </w:t>
      </w:r>
      <w:r>
        <w:rPr>
          <w:i/>
          <w:iCs/>
          <w:lang w:val="es-AR"/>
        </w:rPr>
        <w:t>Segundo Inventario Nacional de Bosques Nativos (INBN2): informe Selva Paranaense. Primera revisión.</w:t>
      </w:r>
      <w:r>
        <w:rPr>
          <w:lang w:val="es-AR"/>
        </w:rPr>
        <w:t xml:space="preserve"> Buenos Aires. </w:t>
      </w:r>
    </w:p>
    <w:p w14:paraId="6CC3094F">
      <w:pPr>
        <w:spacing w:after="0" w:line="240" w:lineRule="auto"/>
        <w:ind w:left="40" w:hanging="20"/>
        <w:jc w:val="both"/>
        <w:rPr>
          <w:lang w:val="es-AR"/>
        </w:rPr>
      </w:pPr>
      <w:r>
        <w:rPr>
          <w:lang w:val="es-AR"/>
        </w:rPr>
        <w:t>PACHECO, S. &amp; BROWN, A. (2006). E</w:t>
      </w:r>
      <w:r>
        <w:rPr>
          <w:i/>
          <w:iCs/>
          <w:lang w:val="es-AR"/>
        </w:rPr>
        <w:t>cología y producción de cedro (género Cedrela) en las Yungas australes</w:t>
      </w:r>
      <w:r>
        <w:rPr>
          <w:lang w:val="es-AR"/>
        </w:rPr>
        <w:t>. Tucumán. 207 p. ISBN: 978-987-23533-0-8.</w:t>
      </w:r>
    </w:p>
    <w:p w14:paraId="089F224F">
      <w:pPr>
        <w:spacing w:after="0" w:line="240" w:lineRule="auto"/>
        <w:ind w:left="40" w:hanging="20"/>
        <w:jc w:val="both"/>
        <w:rPr>
          <w:lang w:val="es-AR"/>
        </w:rPr>
      </w:pPr>
      <w:r>
        <w:rPr>
          <w:lang w:val="es-AR"/>
        </w:rPr>
        <w:t xml:space="preserve">PERI, P.; MARTÍNEZ PASTUR, G. &amp; SCHLICHTER, T.  (2021). </w:t>
      </w:r>
      <w:r>
        <w:rPr>
          <w:i/>
          <w:iCs/>
          <w:lang w:val="es-AR"/>
        </w:rPr>
        <w:t>Uso sostenible del bosque: Aportes desde la Silvicultura Argentina</w:t>
      </w:r>
      <w:r>
        <w:rPr>
          <w:lang w:val="es-AR"/>
        </w:rPr>
        <w:t>. 1a ed. especial. Ciudad Autónoma de Buenos Aires. 889 p. ISBN: 978-987-46815-4-6.</w:t>
      </w:r>
    </w:p>
    <w:p w14:paraId="5CFE55E9">
      <w:pPr>
        <w:spacing w:after="0" w:line="240" w:lineRule="auto"/>
        <w:ind w:left="40" w:hanging="20"/>
        <w:jc w:val="both"/>
        <w:rPr>
          <w:lang w:val="es-AR"/>
        </w:rPr>
      </w:pPr>
      <w:r>
        <w:rPr>
          <w:lang w:val="es-AR"/>
        </w:rPr>
        <w:t xml:space="preserve">RIEGELHAUPT, E. &amp; BURKART, R. (2002). El uso maderero sustentable de la Selva Misionera. En: </w:t>
      </w:r>
      <w:r>
        <w:rPr>
          <w:i/>
          <w:iCs/>
          <w:lang w:val="es-AR"/>
        </w:rPr>
        <w:t>La Selva Misionera: Opciones para su conservación y uso sustentable</w:t>
      </w:r>
      <w:r>
        <w:rPr>
          <w:lang w:val="es-AR"/>
        </w:rPr>
        <w:t xml:space="preserve">. (pp. 73-90). FUCEMA. </w:t>
      </w:r>
    </w:p>
    <w:p w14:paraId="75CCCB83">
      <w:pPr>
        <w:spacing w:after="0" w:line="240" w:lineRule="auto"/>
        <w:ind w:left="40" w:right="80" w:hanging="20"/>
        <w:jc w:val="both"/>
        <w:rPr>
          <w:lang w:val="es-AR"/>
        </w:rPr>
      </w:pPr>
      <w:r>
        <w:rPr>
          <w:lang w:val="es-AR"/>
        </w:rPr>
        <w:t xml:space="preserve">SARMIENTO, M.; BRASSIOLO, M.; SENILLIANI, M. G.; KUNST, C.; NAVALL, M.; KEES, S.; GÓMEZ, C.; LÓPEZ, D. R.; CARRANZA, C.; ALAGGIA, F.; GALETTO, L.; TORRES, C.; CASSINO, W.; CARIGNANO, L. &amp; D’ANGELO, P. (2021). Parque Chaqueño. En: P. Peri, G. Martínez Pastur &amp; T. Schlichter (Eds.), </w:t>
      </w:r>
      <w:r>
        <w:rPr>
          <w:i/>
          <w:iCs/>
          <w:lang w:val="es-AR"/>
        </w:rPr>
        <w:t>Uso sostenible del  bosque: Aportes desde la Silvicultura Argentina</w:t>
      </w:r>
      <w:r>
        <w:rPr>
          <w:lang w:val="es-AR"/>
        </w:rPr>
        <w:t xml:space="preserve"> (pp. 607 – 687).</w:t>
      </w:r>
    </w:p>
    <w:p w14:paraId="4E7E9614">
      <w:pPr>
        <w:spacing w:after="0" w:line="240" w:lineRule="auto"/>
        <w:ind w:left="40" w:right="80" w:hanging="20"/>
        <w:jc w:val="both"/>
        <w:rPr>
          <w:lang w:val="es-AR"/>
        </w:rPr>
      </w:pPr>
      <w:r>
        <w:rPr>
          <w:lang w:val="es-AR"/>
        </w:rPr>
        <w:t>SECRETARIA DE AMBIENTE Y DESARROLLO DE LA NACIÓN. (2007).</w:t>
      </w:r>
      <w:r>
        <w:rPr>
          <w:i/>
          <w:iCs/>
          <w:lang w:val="es-AR"/>
        </w:rPr>
        <w:t xml:space="preserve"> Primer Inventario Nacional de Bosques Nativos: Informes Regionales.</w:t>
      </w:r>
      <w:r>
        <w:rPr>
          <w:lang w:val="es-AR"/>
        </w:rPr>
        <w:t xml:space="preserve"> 1ª Ed.</w:t>
      </w:r>
    </w:p>
    <w:p w14:paraId="56EC26BC">
      <w:pPr>
        <w:spacing w:after="0" w:line="240" w:lineRule="auto"/>
        <w:ind w:left="40" w:right="80" w:hanging="20"/>
        <w:jc w:val="both"/>
        <w:rPr>
          <w:lang w:val="es-AR"/>
        </w:rPr>
      </w:pPr>
      <w:r>
        <w:rPr>
          <w:lang w:val="es-AR"/>
        </w:rPr>
        <w:t xml:space="preserve">SENILLIANI, M. &amp; BRASSIOLO, M. (2021). Calidad de sitio en plantaciones de </w:t>
      </w:r>
      <w:r>
        <w:rPr>
          <w:i/>
          <w:iCs/>
          <w:lang w:val="es-AR"/>
        </w:rPr>
        <w:t>Prosopis alba</w:t>
      </w:r>
      <w:r>
        <w:rPr>
          <w:lang w:val="es-AR"/>
        </w:rPr>
        <w:t xml:space="preserve"> (Algarrobo) en Santiago Del Estero. En: M. C. Area &amp; P. Escobar (Eds.). </w:t>
      </w:r>
      <w:r>
        <w:rPr>
          <w:i/>
          <w:iCs/>
          <w:lang w:val="es-AR"/>
        </w:rPr>
        <w:t>Ciencia y Tecnología Forestal en Argentina</w:t>
      </w:r>
      <w:r>
        <w:rPr>
          <w:lang w:val="es-AR"/>
        </w:rPr>
        <w:t xml:space="preserve"> </w:t>
      </w:r>
      <w:r>
        <w:fldChar w:fldCharType="begin"/>
      </w:r>
      <w:r>
        <w:instrText xml:space="preserve"> HYPERLINK "http://redfor.ar/" \h </w:instrText>
      </w:r>
      <w:r>
        <w:fldChar w:fldCharType="separate"/>
      </w:r>
      <w:r>
        <w:rPr>
          <w:color w:val="1155CC"/>
          <w:u w:val="single"/>
          <w:lang w:val="es-AR"/>
        </w:rPr>
        <w:t>REDFOR.ar</w:t>
      </w:r>
      <w:r>
        <w:rPr>
          <w:color w:val="1155CC"/>
          <w:u w:val="single"/>
          <w:lang w:val="es-AR"/>
        </w:rPr>
        <w:fldChar w:fldCharType="end"/>
      </w:r>
      <w:r>
        <w:rPr>
          <w:lang w:val="es-AR"/>
        </w:rPr>
        <w:t xml:space="preserve"> y </w:t>
      </w:r>
      <w:r>
        <w:fldChar w:fldCharType="begin"/>
      </w:r>
      <w:r>
        <w:instrText xml:space="preserve"> HYPERLINK "http://argentinaforestal.com/" \h </w:instrText>
      </w:r>
      <w:r>
        <w:fldChar w:fldCharType="separate"/>
      </w:r>
      <w:r>
        <w:rPr>
          <w:color w:val="1155CC"/>
          <w:u w:val="single"/>
          <w:lang w:val="es-AR"/>
        </w:rPr>
        <w:t>ArgentinaForestal.com</w:t>
      </w:r>
      <w:r>
        <w:rPr>
          <w:color w:val="1155CC"/>
          <w:u w:val="single"/>
          <w:lang w:val="es-AR"/>
        </w:rPr>
        <w:fldChar w:fldCharType="end"/>
      </w:r>
      <w:r>
        <w:rPr>
          <w:lang w:val="es-AR"/>
        </w:rPr>
        <w:t xml:space="preserve">.  </w:t>
      </w:r>
    </w:p>
    <w:p w14:paraId="0DFA288B">
      <w:pPr>
        <w:spacing w:after="0" w:line="240" w:lineRule="auto"/>
        <w:ind w:left="40" w:right="80" w:hanging="20"/>
        <w:jc w:val="both"/>
        <w:rPr>
          <w:lang w:val="es-AR"/>
        </w:rPr>
      </w:pPr>
      <w:r>
        <w:t xml:space="preserve">SENILLIANI, M.; BRUNO, C. &amp; BRASSIOLO, M. (2021). </w:t>
      </w:r>
      <w:r>
        <w:rPr>
          <w:lang w:val="es-AR"/>
        </w:rPr>
        <w:t xml:space="preserve">Curvas de altura dominante e índice de sitio en plantaciones de </w:t>
      </w:r>
      <w:r>
        <w:rPr>
          <w:i/>
          <w:iCs/>
          <w:lang w:val="es-AR"/>
        </w:rPr>
        <w:t>Prosopis alba</w:t>
      </w:r>
      <w:r>
        <w:rPr>
          <w:lang w:val="es-AR"/>
        </w:rPr>
        <w:t xml:space="preserve">. </w:t>
      </w:r>
      <w:r>
        <w:rPr>
          <w:i/>
          <w:iCs/>
          <w:lang w:val="es-AR"/>
        </w:rPr>
        <w:t>Agriscientia</w:t>
      </w:r>
      <w:r>
        <w:rPr>
          <w:lang w:val="es-AR"/>
        </w:rPr>
        <w:t>, 38(2), 13 – 25.</w:t>
      </w:r>
    </w:p>
    <w:p w14:paraId="4EDC7C3D">
      <w:pPr>
        <w:spacing w:after="0" w:line="240" w:lineRule="auto"/>
        <w:ind w:left="40" w:hanging="20"/>
        <w:jc w:val="both"/>
        <w:rPr>
          <w:lang w:val="es-AR"/>
        </w:rPr>
      </w:pPr>
      <w:r>
        <w:rPr>
          <w:lang w:val="es-AR"/>
        </w:rPr>
        <w:t xml:space="preserve">SOUZA, A. L. &amp; SOARES, C. P. B. (2013). </w:t>
      </w:r>
      <w:r>
        <w:rPr>
          <w:i/>
          <w:iCs/>
          <w:lang w:val="es-AR"/>
        </w:rPr>
        <w:t>Florestas nativas: estrutura, dinâmica e manejo</w:t>
      </w:r>
      <w:r>
        <w:rPr>
          <w:lang w:val="es-AR"/>
        </w:rPr>
        <w:t>. Editora UFV. 322p.</w:t>
      </w:r>
    </w:p>
    <w:p w14:paraId="38861EC8">
      <w:pPr>
        <w:spacing w:after="0" w:line="240" w:lineRule="auto"/>
        <w:rPr>
          <w:color w:val="000000"/>
          <w:lang w:val="es-AR"/>
        </w:rPr>
      </w:pPr>
    </w:p>
    <w:p w14:paraId="1ACE160F">
      <w:pPr>
        <w:spacing w:after="0" w:line="240" w:lineRule="auto"/>
        <w:rPr>
          <w:b/>
          <w:bCs/>
          <w:lang w:val="es-AR"/>
        </w:rPr>
      </w:pPr>
      <w:r>
        <w:rPr>
          <w:b/>
          <w:bCs/>
          <w:lang w:val="es-AR"/>
        </w:rPr>
        <w:t>4.1. Bibliografía de Base</w:t>
      </w:r>
    </w:p>
    <w:p w14:paraId="03642271">
      <w:pPr>
        <w:spacing w:after="0" w:line="240" w:lineRule="auto"/>
        <w:ind w:left="28"/>
        <w:jc w:val="both"/>
        <w:rPr>
          <w:lang w:val="es-AR"/>
        </w:rPr>
      </w:pPr>
      <w:r>
        <w:rPr>
          <w:lang w:val="es-AR"/>
        </w:rPr>
        <w:t xml:space="preserve">DANIEL, T.; HELMS, J. &amp; BAKER, F. (1982). </w:t>
      </w:r>
      <w:r>
        <w:rPr>
          <w:i/>
          <w:iCs/>
          <w:lang w:val="es-AR"/>
        </w:rPr>
        <w:t>Principios de silvicultura</w:t>
      </w:r>
      <w:r>
        <w:rPr>
          <w:lang w:val="es-AR"/>
        </w:rPr>
        <w:t>. Mc Graw-Hill. México 492 p.</w:t>
      </w:r>
    </w:p>
    <w:p w14:paraId="0DD46FA4">
      <w:pPr>
        <w:spacing w:after="0" w:line="240" w:lineRule="auto"/>
        <w:ind w:left="1447" w:right="73" w:hanging="1419"/>
        <w:jc w:val="both"/>
        <w:rPr>
          <w:lang w:val="es-AR"/>
        </w:rPr>
      </w:pPr>
      <w:r>
        <w:rPr>
          <w:lang w:val="es-AR"/>
        </w:rPr>
        <w:t xml:space="preserve">EMRICH, A.; POKORNY, B. &amp; SEPP, C. (2000). </w:t>
      </w:r>
      <w:r>
        <w:rPr>
          <w:i/>
          <w:iCs/>
          <w:lang w:val="es-AR"/>
        </w:rPr>
        <w:t>Importancia de los bosques secundarios para la política de desarrollo</w:t>
      </w:r>
      <w:r>
        <w:rPr>
          <w:lang w:val="es-AR"/>
        </w:rPr>
        <w:t>. GTZ. Eschborn.</w:t>
      </w:r>
    </w:p>
    <w:p w14:paraId="1E69AF92">
      <w:pPr>
        <w:spacing w:after="0" w:line="240" w:lineRule="auto"/>
        <w:ind w:left="28"/>
        <w:jc w:val="both"/>
        <w:rPr>
          <w:lang w:val="es-AR"/>
        </w:rPr>
      </w:pPr>
      <w:r>
        <w:rPr>
          <w:lang w:val="es-AR"/>
        </w:rPr>
        <w:t xml:space="preserve">FREDERIKSEN, T.; CONTRERAS, F. &amp; PARIONA, W. (2001). </w:t>
      </w:r>
      <w:r>
        <w:rPr>
          <w:i/>
          <w:iCs/>
          <w:lang w:val="es-AR"/>
        </w:rPr>
        <w:t>Guía de Silvicultura para los Bosques Tropicales de Bolivia</w:t>
      </w:r>
      <w:r>
        <w:rPr>
          <w:lang w:val="es-AR"/>
        </w:rPr>
        <w:t>. Proyecto BOLFOR. Santa Cruz de la Sierra, Bolivia. 81 p.</w:t>
      </w:r>
    </w:p>
    <w:p w14:paraId="6447F3D8">
      <w:pPr>
        <w:spacing w:after="0" w:line="240" w:lineRule="auto"/>
        <w:ind w:left="28"/>
        <w:rPr>
          <w:lang w:val="es-AR"/>
        </w:rPr>
      </w:pPr>
      <w:r>
        <w:rPr>
          <w:lang w:val="es-AR"/>
        </w:rPr>
        <w:t xml:space="preserve">HAWLEY, R. C. &amp; SMITH, D. M. (1972). </w:t>
      </w:r>
      <w:r>
        <w:rPr>
          <w:i/>
          <w:iCs/>
          <w:lang w:val="es-AR"/>
        </w:rPr>
        <w:t>Silvicultura Práctica</w:t>
      </w:r>
      <w:r>
        <w:rPr>
          <w:lang w:val="es-AR"/>
        </w:rPr>
        <w:t>. Ed. Omega S. A. Barcelona. 543 p.</w:t>
      </w:r>
    </w:p>
    <w:p w14:paraId="042E41C6">
      <w:pPr>
        <w:spacing w:after="0" w:line="240" w:lineRule="auto"/>
        <w:ind w:left="1447" w:right="73" w:hanging="1419"/>
        <w:jc w:val="both"/>
        <w:rPr>
          <w:lang w:val="es-AR"/>
        </w:rPr>
      </w:pPr>
      <w:r>
        <w:rPr>
          <w:lang w:val="es-AR"/>
        </w:rPr>
        <w:t xml:space="preserve">LAMPRECHT, H. (1990). </w:t>
      </w:r>
      <w:r>
        <w:rPr>
          <w:i/>
          <w:iCs/>
          <w:lang w:val="es-AR"/>
        </w:rPr>
        <w:t>Silvicultura en los Trópicos</w:t>
      </w:r>
      <w:r>
        <w:rPr>
          <w:lang w:val="es-AR"/>
        </w:rPr>
        <w:t>. Eschborn, GTZ GmbH, (Deutsche Gesellschaft für Technische Zusammenarbeit).</w:t>
      </w:r>
    </w:p>
    <w:p w14:paraId="7F87B88B">
      <w:pPr>
        <w:spacing w:after="0" w:line="240" w:lineRule="auto"/>
        <w:ind w:left="28"/>
        <w:jc w:val="both"/>
      </w:pPr>
      <w:r>
        <w:t xml:space="preserve">NYLAND, R. (1996). </w:t>
      </w:r>
      <w:r>
        <w:rPr>
          <w:i/>
          <w:iCs/>
        </w:rPr>
        <w:t>Silviculture: Concepts and Applications</w:t>
      </w:r>
      <w:r>
        <w:t>. Mc Graw-Hill. Series in Forest Resources. 633 p.</w:t>
      </w:r>
    </w:p>
    <w:p w14:paraId="26AE019C">
      <w:pPr>
        <w:spacing w:after="0" w:line="240" w:lineRule="auto"/>
        <w:ind w:left="1447" w:right="73" w:hanging="1419"/>
      </w:pPr>
      <w:r>
        <w:t xml:space="preserve">SMITH, D; LARSON, B; KELTY, M. &amp; ASHTON, P .M. (1997). </w:t>
      </w:r>
      <w:r>
        <w:rPr>
          <w:i/>
          <w:iCs/>
        </w:rPr>
        <w:t xml:space="preserve">The Practice of Silviculture: Applied Forest Ecology. </w:t>
      </w:r>
      <w:r>
        <w:t>9th. ed. John Wiley &amp; Sons. New York. 537 p.</w:t>
      </w:r>
    </w:p>
    <w:p w14:paraId="23C83DBA">
      <w:pPr>
        <w:spacing w:after="0" w:line="240" w:lineRule="auto"/>
        <w:ind w:left="1447" w:right="73" w:hanging="1419"/>
      </w:pPr>
    </w:p>
    <w:p w14:paraId="21D4F496">
      <w:pPr>
        <w:pStyle w:val="4"/>
        <w:keepNext w:val="0"/>
        <w:keepLines w:val="0"/>
        <w:widowControl w:val="0"/>
        <w:numPr>
          <w:ilvl w:val="0"/>
          <w:numId w:val="1"/>
        </w:numPr>
        <w:tabs>
          <w:tab w:val="left" w:pos="247"/>
        </w:tabs>
        <w:suppressAutoHyphens/>
        <w:spacing w:before="0" w:line="240" w:lineRule="auto"/>
        <w:ind w:left="247" w:hanging="219"/>
      </w:pPr>
      <w:r>
        <w:rPr>
          <w:color w:val="1F2023"/>
        </w:rPr>
        <w:t>Evaluación</w:t>
      </w:r>
    </w:p>
    <w:p w14:paraId="58876B8B">
      <w:pPr>
        <w:spacing w:after="0" w:line="240" w:lineRule="auto"/>
        <w:rPr>
          <w:b/>
          <w:bCs/>
        </w:rPr>
      </w:pPr>
    </w:p>
    <w:p w14:paraId="3A83E229">
      <w:pPr>
        <w:spacing w:after="0" w:line="240" w:lineRule="auto"/>
        <w:ind w:left="28"/>
        <w:jc w:val="both"/>
        <w:rPr>
          <w:lang w:val="es-AR"/>
        </w:rPr>
      </w:pPr>
      <w:r>
        <w:rPr>
          <w:lang w:val="es-AR"/>
        </w:rPr>
        <w:t>Los requisitos de evaluación para la aprobación del curso son los siguientes:</w:t>
      </w:r>
    </w:p>
    <w:p w14:paraId="17AA84BB">
      <w:pPr>
        <w:spacing w:after="0" w:line="240" w:lineRule="auto"/>
        <w:ind w:left="28"/>
        <w:jc w:val="both"/>
        <w:rPr>
          <w:lang w:val="es-AR"/>
        </w:rPr>
      </w:pPr>
      <w:r>
        <w:rPr>
          <w:lang w:val="es-AR"/>
        </w:rPr>
        <w:t>Lectura previa y trabajos colaborativos en equipos mixtos de ambas universidades para responder a consignas establecidas (habrá clases específicas en las que se hará la devolución de lo trabajado).</w:t>
      </w:r>
    </w:p>
    <w:p w14:paraId="1A2DCC5B">
      <w:pPr>
        <w:spacing w:after="0" w:line="240" w:lineRule="auto"/>
        <w:ind w:left="28"/>
        <w:jc w:val="both"/>
        <w:rPr>
          <w:lang w:val="es-AR"/>
        </w:rPr>
      </w:pPr>
      <w:r>
        <w:rPr>
          <w:lang w:val="es-AR"/>
        </w:rPr>
        <w:t xml:space="preserve">Participación en las discusiones. Presentaciones y evaluaciones de trabajos integradores. </w:t>
      </w:r>
    </w:p>
    <w:p w14:paraId="7D400D86">
      <w:pPr>
        <w:spacing w:after="0" w:line="240" w:lineRule="auto"/>
        <w:ind w:left="28"/>
        <w:jc w:val="both"/>
        <w:rPr>
          <w:lang w:val="es-AR"/>
        </w:rPr>
      </w:pPr>
    </w:p>
    <w:p w14:paraId="05BC37CF">
      <w:pPr>
        <w:pStyle w:val="4"/>
        <w:keepNext w:val="0"/>
        <w:keepLines w:val="0"/>
        <w:widowControl w:val="0"/>
        <w:numPr>
          <w:ilvl w:val="0"/>
          <w:numId w:val="2"/>
        </w:numPr>
        <w:tabs>
          <w:tab w:val="left" w:pos="247"/>
        </w:tabs>
        <w:suppressAutoHyphens/>
        <w:spacing w:before="0" w:line="240" w:lineRule="auto"/>
        <w:ind w:left="247" w:hanging="219"/>
        <w:rPr>
          <w:color w:val="auto"/>
        </w:rPr>
      </w:pPr>
      <w:r>
        <w:rPr>
          <w:color w:val="auto"/>
        </w:rPr>
        <w:t>Estrategias de enseñanza</w:t>
      </w:r>
    </w:p>
    <w:p w14:paraId="700732D4">
      <w:pPr>
        <w:spacing w:after="0" w:line="240" w:lineRule="auto"/>
        <w:rPr>
          <w:b/>
          <w:bCs/>
        </w:rPr>
      </w:pPr>
    </w:p>
    <w:p w14:paraId="363F75C4">
      <w:pPr>
        <w:spacing w:after="0" w:line="240" w:lineRule="auto"/>
        <w:ind w:left="28" w:right="29"/>
        <w:jc w:val="both"/>
        <w:rPr>
          <w:lang w:val="es-AR"/>
        </w:rPr>
      </w:pPr>
      <w:r>
        <w:rPr>
          <w:lang w:val="es-AR"/>
        </w:rPr>
        <w:t>La estrategia de enseñanza se fundamenta en un enfoque pedagógico interinstitucional, diseñado para capitalizar el contraste entre los ecosistemas de la Selva Paranaense y el Chaco. A través de la modalidad de Clases Espejo [1] y el Aprendizaje Basado en Problemas, se promoverá un espacio de construcción colectiva donde el conocimiento técnico-científico se integre con la experiencia empírica territorial. El curso priorizará la reflexión crítica de situaciones reales del enfoque actual mediante el trabajo colaborativo en grupos mixtos, fomentando la transferencia de criterios silviculturales adaptativos, con el fin de que los profesionales desarrollen una visión integral sobre el manejo de los recursos forestales nativos.</w:t>
      </w:r>
    </w:p>
    <w:p w14:paraId="08D1A57B">
      <w:pPr>
        <w:spacing w:after="0" w:line="240" w:lineRule="auto"/>
        <w:ind w:left="28" w:right="29"/>
        <w:jc w:val="both"/>
        <w:rPr>
          <w:lang w:val="es-AR"/>
        </w:rPr>
      </w:pPr>
      <w:r>
        <w:rPr>
          <w:lang w:val="es-AR"/>
        </w:rPr>
        <w:t>La modalidad de cursado es virtual sincrónico, basada en el contraste de realidades territoriales. La estrategia combina clases sincrónicas, foros de debate y talleres de síntesis grupal, orientados a que el estudiante integre la complejidad biológica y productiva de ambas regiones. Las clases teóricas serán sincrónicas y actividades prácticas asincrónicas que se dispondrán en la plataforma Moodle.</w:t>
      </w:r>
    </w:p>
    <w:p w14:paraId="3B617756">
      <w:pPr>
        <w:spacing w:after="0" w:line="240" w:lineRule="auto"/>
        <w:ind w:left="28" w:right="32"/>
        <w:jc w:val="both"/>
        <w:rPr>
          <w:lang w:val="es-AR"/>
        </w:rPr>
      </w:pPr>
      <w:r>
        <w:rPr>
          <w:lang w:val="es-AR"/>
        </w:rPr>
        <w:t>Clases teóricas: Tendrán bloques de 60 minutos con recesos entre ellos.</w:t>
      </w:r>
    </w:p>
    <w:p w14:paraId="16C465A8">
      <w:pPr>
        <w:spacing w:after="0" w:line="240" w:lineRule="auto"/>
        <w:ind w:left="28" w:right="25"/>
        <w:jc w:val="both"/>
        <w:rPr>
          <w:lang w:val="es-AR"/>
        </w:rPr>
      </w:pPr>
      <w:r>
        <w:rPr>
          <w:lang w:val="es-AR"/>
        </w:rPr>
        <w:t>Clases prácticas: Tendrán momentos de actividad grupal que pongan en relieve la construcción conjunta.</w:t>
      </w:r>
    </w:p>
    <w:p w14:paraId="15CC97A5">
      <w:pPr>
        <w:spacing w:after="0" w:line="240" w:lineRule="auto"/>
        <w:ind w:left="28" w:right="31"/>
        <w:jc w:val="both"/>
        <w:rPr>
          <w:lang w:val="es-AR"/>
        </w:rPr>
      </w:pPr>
      <w:r>
        <w:rPr>
          <w:lang w:val="es-AR"/>
        </w:rPr>
        <w:t>Estas actividades estarán enlazadas con material disponible en la plataforma que requerirán dedicación asincrónica.</w:t>
      </w:r>
    </w:p>
    <w:p w14:paraId="23FE36C1">
      <w:pPr>
        <w:spacing w:after="0" w:line="240" w:lineRule="auto"/>
        <w:ind w:left="28" w:right="25"/>
        <w:jc w:val="both"/>
        <w:rPr>
          <w:lang w:val="es-AR"/>
        </w:rPr>
      </w:pPr>
      <w:r>
        <w:rPr>
          <w:lang w:val="es-AR"/>
        </w:rPr>
        <w:t>Ambas instituciones participantes en el curso cuentan con el apoyo y soporte del Sistema Institucional de Educación a Distancia (SIED) para el desarrollo del aula virtual  durante el proceso de dictado.</w:t>
      </w:r>
    </w:p>
    <w:p w14:paraId="6ACB8B3C">
      <w:pPr>
        <w:spacing w:after="0" w:line="240" w:lineRule="auto"/>
        <w:rPr>
          <w:lang w:val="es-AR"/>
        </w:rPr>
      </w:pPr>
    </w:p>
    <w:p w14:paraId="5DE1F9F4">
      <w:pPr>
        <w:widowControl w:val="0"/>
        <w:numPr>
          <w:ilvl w:val="0"/>
          <w:numId w:val="2"/>
        </w:numPr>
        <w:suppressAutoHyphens/>
        <w:spacing w:after="0" w:line="240" w:lineRule="auto"/>
        <w:ind w:right="29"/>
        <w:jc w:val="both"/>
        <w:rPr>
          <w:lang w:val="es-AR"/>
        </w:rPr>
      </w:pPr>
      <w:r>
        <w:rPr>
          <w:b/>
          <w:bCs/>
          <w:lang w:val="es-AR"/>
        </w:rPr>
        <w:t>Seguimiento</w:t>
      </w:r>
      <w:r>
        <w:rPr>
          <w:lang w:val="es-AR"/>
        </w:rPr>
        <w:t>: Al iniciar cada encuentro se construirá una síntesis de lo trabajado en la clase anterior. Se dejará un momento para responder  preguntas que puedan haber surgido.</w:t>
      </w:r>
    </w:p>
    <w:p w14:paraId="53657E86">
      <w:pPr>
        <w:spacing w:after="0" w:line="240" w:lineRule="auto"/>
        <w:ind w:left="28" w:right="29"/>
        <w:jc w:val="both"/>
        <w:rPr>
          <w:lang w:val="es-AR"/>
        </w:rPr>
      </w:pPr>
    </w:p>
    <w:p w14:paraId="5783806E">
      <w:pPr>
        <w:spacing w:after="0" w:line="240" w:lineRule="auto"/>
        <w:ind w:left="28" w:right="29"/>
        <w:jc w:val="both"/>
        <w:rPr>
          <w:lang w:val="es-AR"/>
        </w:rPr>
      </w:pPr>
    </w:p>
    <w:p w14:paraId="3BEA9EE4">
      <w:pPr>
        <w:spacing w:after="0" w:line="240" w:lineRule="auto"/>
        <w:ind w:left="28" w:right="29"/>
        <w:jc w:val="both"/>
        <w:rPr>
          <w:color w:val="000000"/>
          <w:lang w:val="es-AR"/>
        </w:rPr>
      </w:pPr>
      <w:r>
        <w:rPr>
          <w:color w:val="000000"/>
          <w:lang w:val="es-AR"/>
        </w:rPr>
        <w:t>[1] Se entiende por “Aula Espejo” a la estrategia pedagógica que articula espacios de enseñanza y aprendizaje compartidos entre instituciones de educación superior, mediante el uso de tecnologías de la información y la comunicación (TIC). Esta modalidad posibilita la interacción sincrónica y asincrónica entre docentes y estudiantes de distintas instituciones, a través de entornos virtuales, favoreciendo el desarrollo de clases conjuntas, debates académicos y actividades de resolución de problemas o casos, en un marco de trabajo colaborativo.</w:t>
      </w:r>
      <w:bookmarkStart w:id="0" w:name="_GoBack"/>
      <w:bookmarkEnd w:id="0"/>
    </w:p>
    <w:sectPr>
      <w:headerReference r:id="rId8" w:type="default"/>
      <w:pgSz w:w="11907" w:h="16839"/>
      <w:pgMar w:top="2127" w:right="1701" w:bottom="1418" w:left="1701" w:header="624"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G Times">
    <w:altName w:val="Times New Roman"/>
    <w:panose1 w:val="00000000000000000000"/>
    <w:charset w:val="00"/>
    <w:family w:val="roman"/>
    <w:pitch w:val="default"/>
    <w:sig w:usb0="00000000" w:usb1="00000000" w:usb2="00000000" w:usb3="00000000" w:csb0="00000093" w:csb1="00000000"/>
  </w:font>
  <w:font w:name="Segoe UI">
    <w:panose1 w:val="020B0502040204020203"/>
    <w:charset w:val="00"/>
    <w:family w:val="swiss"/>
    <w:pitch w:val="default"/>
    <w:sig w:usb0="E4002EFF" w:usb1="C000E47F" w:usb2="00000009" w:usb3="00000000" w:csb0="200001FF" w:csb1="00000000"/>
  </w:font>
  <w:font w:name="Noto Serif CJK SC">
    <w:altName w:val="Times New Roman"/>
    <w:panose1 w:val="00000000000000000000"/>
    <w:charset w:val="00"/>
    <w:family w:val="roman"/>
    <w:pitch w:val="default"/>
    <w:sig w:usb0="00000000" w:usb1="00000000" w:usb2="00000000" w:usb3="00000000" w:csb0="00000000" w:csb1="00000000"/>
  </w:font>
  <w:font w:name="Lohit Devanagari">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Carlito">
    <w:altName w:val="Times New Roman"/>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FEA66">
    <w:pPr>
      <w:pStyle w:val="10"/>
    </w:pPr>
    <w:r>
      <w:rPr>
        <w:lang w:val="es-AR" w:eastAsia="es-AR"/>
      </w:rPr>
      <w:drawing>
        <wp:anchor distT="0" distB="0" distL="0" distR="0" simplePos="0" relativeHeight="251659264" behindDoc="1" locked="0" layoutInCell="1" allowOverlap="1">
          <wp:simplePos x="0" y="0"/>
          <wp:positionH relativeFrom="column">
            <wp:posOffset>-1081405</wp:posOffset>
          </wp:positionH>
          <wp:positionV relativeFrom="paragraph">
            <wp:posOffset>-170815</wp:posOffset>
          </wp:positionV>
          <wp:extent cx="7583805" cy="989330"/>
          <wp:effectExtent l="0" t="0" r="0" b="1270"/>
          <wp:wrapNone/>
          <wp:docPr id="1" name="image1.jpg"/>
          <wp:cNvGraphicFramePr/>
          <a:graphic xmlns:a="http://schemas.openxmlformats.org/drawingml/2006/main">
            <a:graphicData uri="http://schemas.openxmlformats.org/drawingml/2006/picture">
              <pic:pic xmlns:pic="http://schemas.openxmlformats.org/drawingml/2006/picture">
                <pic:nvPicPr>
                  <pic:cNvPr id="1" name="image1.jpg"/>
                  <pic:cNvPicPr preferRelativeResize="0"/>
                </pic:nvPicPr>
                <pic:blipFill>
                  <a:blip r:embed="rId1"/>
                  <a:srcRect t="15644" b="15644"/>
                  <a:stretch>
                    <a:fillRect/>
                  </a:stretch>
                </pic:blipFill>
                <pic:spPr>
                  <a:xfrm>
                    <a:off x="0" y="0"/>
                    <a:ext cx="7583805" cy="98933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42F66">
    <w:pPr>
      <w:spacing w:line="14" w:lineRule="auto"/>
      <w:rPr>
        <w:color w:val="000000"/>
        <w:sz w:val="20"/>
        <w:szCs w:val="20"/>
        <w:lang w:val="es-AR"/>
      </w:rPr>
    </w:pPr>
    <w:r>
      <w:rPr>
        <w:lang w:val="es-AR" w:eastAsia="es-AR"/>
      </w:rPr>
      <w:drawing>
        <wp:anchor distT="0" distB="0" distL="0" distR="0" simplePos="0" relativeHeight="251661312" behindDoc="1" locked="0" layoutInCell="1" allowOverlap="1">
          <wp:simplePos x="0" y="0"/>
          <wp:positionH relativeFrom="column">
            <wp:posOffset>-820420</wp:posOffset>
          </wp:positionH>
          <wp:positionV relativeFrom="paragraph">
            <wp:posOffset>-204470</wp:posOffset>
          </wp:positionV>
          <wp:extent cx="7583805" cy="989330"/>
          <wp:effectExtent l="0" t="0" r="0" b="1270"/>
          <wp:wrapNone/>
          <wp:docPr id="3" name="image1.jpg"/>
          <wp:cNvGraphicFramePr/>
          <a:graphic xmlns:a="http://schemas.openxmlformats.org/drawingml/2006/main">
            <a:graphicData uri="http://schemas.openxmlformats.org/drawingml/2006/picture">
              <pic:pic xmlns:pic="http://schemas.openxmlformats.org/drawingml/2006/picture">
                <pic:nvPicPr>
                  <pic:cNvPr id="3" name="image1.jpg"/>
                  <pic:cNvPicPr preferRelativeResize="0"/>
                </pic:nvPicPr>
                <pic:blipFill>
                  <a:blip r:embed="rId1"/>
                  <a:srcRect t="15644" b="15644"/>
                  <a:stretch>
                    <a:fillRect/>
                  </a:stretch>
                </pic:blipFill>
                <pic:spPr>
                  <a:xfrm>
                    <a:off x="0" y="0"/>
                    <a:ext cx="7583805" cy="989330"/>
                  </a:xfrm>
                  <a:prstGeom prst="rect">
                    <a:avLst/>
                  </a:prstGeom>
                </pic:spPr>
              </pic:pic>
            </a:graphicData>
          </a:graphic>
        </wp:anchor>
      </w:drawing>
    </w:r>
    <w:r>
      <w:rPr>
        <w:color w:val="000000"/>
        <w:sz w:val="20"/>
        <w:szCs w:val="20"/>
        <w:lang w:val="es-AR"/>
      </w:rPr>
      <w:t xml:space="preserve"> </w:t>
    </w:r>
  </w:p>
  <w:p w14:paraId="7D13447A">
    <w:pPr>
      <w:spacing w:line="14" w:lineRule="auto"/>
      <w:rPr>
        <w:color w:val="000000"/>
        <w:sz w:val="20"/>
        <w:szCs w:val="20"/>
        <w:lang w:val="es-AR"/>
      </w:rPr>
    </w:pPr>
  </w:p>
  <w:p w14:paraId="4B3F6BE0">
    <w:pPr>
      <w:spacing w:line="14" w:lineRule="auto"/>
      <w:rPr>
        <w:color w:val="000000"/>
        <w:sz w:val="20"/>
        <w:szCs w:val="20"/>
        <w:lang w:val="es-AR"/>
      </w:rPr>
    </w:pPr>
  </w:p>
  <w:p w14:paraId="7EF2BC5B">
    <w:pPr>
      <w:spacing w:line="14" w:lineRule="auto"/>
      <w:rPr>
        <w:color w:val="000000"/>
        <w:sz w:val="20"/>
        <w:szCs w:val="20"/>
        <w:lang w:val="es-AR"/>
      </w:rPr>
    </w:pPr>
  </w:p>
  <w:p w14:paraId="6B69B4F5">
    <w:pPr>
      <w:spacing w:line="14" w:lineRule="auto"/>
      <w:rPr>
        <w:color w:val="000000"/>
        <w:sz w:val="20"/>
        <w:szCs w:val="20"/>
        <w:lang w:val="es-AR"/>
      </w:rPr>
    </w:pPr>
  </w:p>
  <w:p w14:paraId="45FF4616">
    <w:pPr>
      <w:spacing w:line="14" w:lineRule="auto"/>
      <w:rPr>
        <w:color w:val="000000"/>
        <w:sz w:val="20"/>
        <w:szCs w:val="20"/>
        <w:lang w:val="es-AR"/>
      </w:rPr>
    </w:pPr>
  </w:p>
  <w:p w14:paraId="51270C08">
    <w:pPr>
      <w:spacing w:line="14" w:lineRule="auto"/>
      <w:rPr>
        <w:color w:val="000000"/>
        <w:sz w:val="20"/>
        <w:szCs w:val="20"/>
        <w:lang w:val="es-AR"/>
      </w:rPr>
    </w:pPr>
  </w:p>
  <w:p w14:paraId="6BB0F044">
    <w:pPr>
      <w:spacing w:after="0" w:line="240" w:lineRule="auto"/>
      <w:jc w:val="both"/>
      <w:rPr>
        <w:rFonts w:ascii="Arial" w:hAnsi="Arial" w:eastAsia="Times New Roman" w:cs="Arial"/>
        <w:b/>
        <w:bCs/>
        <w:sz w:val="24"/>
        <w:szCs w:val="24"/>
        <w:lang w:val="es-ES" w:eastAsia="es-ES"/>
      </w:rPr>
    </w:pPr>
    <w:r>
      <w:rPr>
        <w:rFonts w:ascii="Arial" w:hAnsi="Arial" w:eastAsia="Times New Roman" w:cs="Arial"/>
        <w:b/>
        <w:bCs/>
        <w:sz w:val="24"/>
        <w:szCs w:val="24"/>
        <w:lang w:val="es-ES" w:eastAsia="es-ES"/>
      </w:rPr>
      <w:t>RESOLUCIÓN CD FCF Nº 162/2026</w:t>
    </w:r>
  </w:p>
  <w:p w14:paraId="0D6B6B56">
    <w:pPr>
      <w:spacing w:line="14" w:lineRule="auto"/>
      <w:rPr>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64447">
    <w:pPr>
      <w:spacing w:line="14" w:lineRule="auto"/>
      <w:rPr>
        <w:color w:val="000000"/>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73184">
    <w:pPr>
      <w:pStyle w:val="10"/>
    </w:pPr>
    <w:r>
      <w:rPr>
        <w:lang w:val="es-AR" w:eastAsia="es-AR"/>
      </w:rPr>
      <w:drawing>
        <wp:anchor distT="0" distB="0" distL="0" distR="0" simplePos="0" relativeHeight="251660288" behindDoc="1" locked="0" layoutInCell="1" allowOverlap="1">
          <wp:simplePos x="0" y="0"/>
          <wp:positionH relativeFrom="column">
            <wp:posOffset>-1081405</wp:posOffset>
          </wp:positionH>
          <wp:positionV relativeFrom="paragraph">
            <wp:posOffset>-168910</wp:posOffset>
          </wp:positionV>
          <wp:extent cx="7583805" cy="989330"/>
          <wp:effectExtent l="0" t="0" r="0" b="1270"/>
          <wp:wrapNone/>
          <wp:docPr id="4" name="image1.jpg"/>
          <wp:cNvGraphicFramePr/>
          <a:graphic xmlns:a="http://schemas.openxmlformats.org/drawingml/2006/main">
            <a:graphicData uri="http://schemas.openxmlformats.org/drawingml/2006/picture">
              <pic:pic xmlns:pic="http://schemas.openxmlformats.org/drawingml/2006/picture">
                <pic:nvPicPr>
                  <pic:cNvPr id="4" name="image1.jpg"/>
                  <pic:cNvPicPr preferRelativeResize="0"/>
                </pic:nvPicPr>
                <pic:blipFill>
                  <a:blip r:embed="rId1"/>
                  <a:srcRect t="15644" b="15644"/>
                  <a:stretch>
                    <a:fillRect/>
                  </a:stretch>
                </pic:blipFill>
                <pic:spPr>
                  <a:xfrm>
                    <a:off x="0" y="0"/>
                    <a:ext cx="7583805" cy="989330"/>
                  </a:xfrm>
                  <a:prstGeom prst="rect">
                    <a:avLst/>
                  </a:prstGeom>
                </pic:spPr>
              </pic:pic>
            </a:graphicData>
          </a:graphic>
        </wp:anchor>
      </w:drawing>
    </w:r>
  </w:p>
  <w:p w14:paraId="002283A5">
    <w:pPr>
      <w:pStyle w:val="10"/>
      <w:rPr>
        <w:sz w:val="12"/>
      </w:rPr>
    </w:pPr>
  </w:p>
  <w:p w14:paraId="6805BDB9">
    <w:pPr>
      <w:spacing w:after="0" w:line="240" w:lineRule="auto"/>
      <w:rPr>
        <w:rFonts w:ascii="Arial" w:hAnsi="Arial" w:eastAsia="Times New Roman" w:cs="Arial"/>
        <w:b/>
        <w:bCs/>
        <w:sz w:val="24"/>
        <w:szCs w:val="24"/>
        <w:lang w:val="pt-BR" w:eastAsia="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BC5CDD"/>
    <w:multiLevelType w:val="multilevel"/>
    <w:tmpl w:val="34BC5CDD"/>
    <w:lvl w:ilvl="0" w:tentative="0">
      <w:start w:val="1"/>
      <w:numFmt w:val="decimal"/>
      <w:lvlText w:val="%1."/>
      <w:lvlJc w:val="left"/>
      <w:pPr>
        <w:tabs>
          <w:tab w:val="left" w:pos="0"/>
        </w:tabs>
        <w:ind w:left="251" w:hanging="223"/>
      </w:pPr>
      <w:rPr>
        <w:rFonts w:ascii="Calibri" w:hAnsi="Calibri" w:eastAsia="Calibri" w:cs="Calibri"/>
        <w:b/>
        <w:bCs/>
        <w:i w:val="0"/>
        <w:iCs w:val="0"/>
        <w:color w:val="1F2023"/>
        <w:sz w:val="22"/>
        <w:szCs w:val="22"/>
      </w:rPr>
    </w:lvl>
    <w:lvl w:ilvl="1" w:tentative="0">
      <w:start w:val="1"/>
      <w:numFmt w:val="decimal"/>
      <w:lvlText w:val="%1.%2"/>
      <w:lvlJc w:val="left"/>
      <w:pPr>
        <w:tabs>
          <w:tab w:val="left" w:pos="0"/>
        </w:tabs>
        <w:ind w:left="361" w:hanging="332"/>
      </w:pPr>
      <w:rPr>
        <w:rFonts w:ascii="Calibri" w:hAnsi="Calibri" w:eastAsia="Calibri" w:cs="Calibri"/>
        <w:b/>
        <w:bCs/>
        <w:i w:val="0"/>
        <w:iCs w:val="0"/>
        <w:color w:val="1F2023"/>
        <w:sz w:val="22"/>
        <w:szCs w:val="22"/>
      </w:rPr>
    </w:lvl>
    <w:lvl w:ilvl="2" w:tentative="0">
      <w:start w:val="0"/>
      <w:numFmt w:val="bullet"/>
      <w:lvlText w:val=""/>
      <w:lvlJc w:val="left"/>
      <w:pPr>
        <w:tabs>
          <w:tab w:val="left" w:pos="0"/>
        </w:tabs>
        <w:ind w:left="1375" w:hanging="333"/>
      </w:pPr>
      <w:rPr>
        <w:rFonts w:hint="default" w:ascii="Symbol" w:hAnsi="Symbol" w:cs="Symbol"/>
      </w:rPr>
    </w:lvl>
    <w:lvl w:ilvl="3" w:tentative="0">
      <w:start w:val="0"/>
      <w:numFmt w:val="bullet"/>
      <w:lvlText w:val=""/>
      <w:lvlJc w:val="left"/>
      <w:pPr>
        <w:tabs>
          <w:tab w:val="left" w:pos="0"/>
        </w:tabs>
        <w:ind w:left="2390" w:hanging="333"/>
      </w:pPr>
      <w:rPr>
        <w:rFonts w:hint="default" w:ascii="Symbol" w:hAnsi="Symbol" w:cs="Symbol"/>
      </w:rPr>
    </w:lvl>
    <w:lvl w:ilvl="4" w:tentative="0">
      <w:start w:val="0"/>
      <w:numFmt w:val="bullet"/>
      <w:lvlText w:val=""/>
      <w:lvlJc w:val="left"/>
      <w:pPr>
        <w:tabs>
          <w:tab w:val="left" w:pos="0"/>
        </w:tabs>
        <w:ind w:left="3406" w:hanging="333"/>
      </w:pPr>
      <w:rPr>
        <w:rFonts w:hint="default" w:ascii="Symbol" w:hAnsi="Symbol" w:cs="Symbol"/>
      </w:rPr>
    </w:lvl>
    <w:lvl w:ilvl="5" w:tentative="0">
      <w:start w:val="0"/>
      <w:numFmt w:val="bullet"/>
      <w:lvlText w:val=""/>
      <w:lvlJc w:val="left"/>
      <w:pPr>
        <w:tabs>
          <w:tab w:val="left" w:pos="0"/>
        </w:tabs>
        <w:ind w:left="4421" w:hanging="333"/>
      </w:pPr>
      <w:rPr>
        <w:rFonts w:hint="default" w:ascii="Symbol" w:hAnsi="Symbol" w:cs="Symbol"/>
      </w:rPr>
    </w:lvl>
    <w:lvl w:ilvl="6" w:tentative="0">
      <w:start w:val="0"/>
      <w:numFmt w:val="bullet"/>
      <w:lvlText w:val=""/>
      <w:lvlJc w:val="left"/>
      <w:pPr>
        <w:tabs>
          <w:tab w:val="left" w:pos="0"/>
        </w:tabs>
        <w:ind w:left="5436" w:hanging="333"/>
      </w:pPr>
      <w:rPr>
        <w:rFonts w:hint="default" w:ascii="Symbol" w:hAnsi="Symbol" w:cs="Symbol"/>
      </w:rPr>
    </w:lvl>
    <w:lvl w:ilvl="7" w:tentative="0">
      <w:start w:val="0"/>
      <w:numFmt w:val="bullet"/>
      <w:lvlText w:val=""/>
      <w:lvlJc w:val="left"/>
      <w:pPr>
        <w:tabs>
          <w:tab w:val="left" w:pos="0"/>
        </w:tabs>
        <w:ind w:left="6452" w:hanging="332"/>
      </w:pPr>
      <w:rPr>
        <w:rFonts w:hint="default" w:ascii="Symbol" w:hAnsi="Symbol" w:cs="Symbol"/>
      </w:rPr>
    </w:lvl>
    <w:lvl w:ilvl="8" w:tentative="0">
      <w:start w:val="0"/>
      <w:numFmt w:val="bullet"/>
      <w:lvlText w:val=""/>
      <w:lvlJc w:val="left"/>
      <w:pPr>
        <w:tabs>
          <w:tab w:val="left" w:pos="0"/>
        </w:tabs>
        <w:ind w:left="7467" w:hanging="332"/>
      </w:pPr>
      <w:rPr>
        <w:rFonts w:hint="default" w:ascii="Symbol" w:hAnsi="Symbol" w:cs="Symbol"/>
      </w:rPr>
    </w:lvl>
  </w:abstractNum>
  <w:abstractNum w:abstractNumId="1">
    <w:nsid w:val="41547F10"/>
    <w:multiLevelType w:val="multilevel"/>
    <w:tmpl w:val="41547F10"/>
    <w:lvl w:ilvl="0" w:tentative="0">
      <w:start w:val="6"/>
      <w:numFmt w:val="decimal"/>
      <w:lvlText w:val="%1."/>
      <w:lvlJc w:val="left"/>
      <w:pPr>
        <w:tabs>
          <w:tab w:val="left" w:pos="0"/>
        </w:tabs>
        <w:ind w:left="249" w:hanging="221"/>
      </w:pPr>
      <w:rPr>
        <w:rFonts w:ascii="Calibri" w:hAnsi="Calibri" w:eastAsia="Calibri" w:cs="Calibri"/>
        <w:b/>
        <w:bCs/>
        <w:i w:val="0"/>
        <w:iCs w:val="0"/>
        <w:color w:val="1F2023"/>
        <w:sz w:val="22"/>
        <w:szCs w:val="22"/>
      </w:rPr>
    </w:lvl>
    <w:lvl w:ilvl="1" w:tentative="0">
      <w:start w:val="0"/>
      <w:numFmt w:val="bullet"/>
      <w:lvlText w:val=""/>
      <w:lvlJc w:val="left"/>
      <w:pPr>
        <w:tabs>
          <w:tab w:val="left" w:pos="0"/>
        </w:tabs>
        <w:ind w:left="1165" w:hanging="221"/>
      </w:pPr>
      <w:rPr>
        <w:rFonts w:hint="default" w:ascii="Symbol" w:hAnsi="Symbol" w:cs="Symbol"/>
      </w:rPr>
    </w:lvl>
    <w:lvl w:ilvl="2" w:tentative="0">
      <w:start w:val="0"/>
      <w:numFmt w:val="bullet"/>
      <w:lvlText w:val=""/>
      <w:lvlJc w:val="left"/>
      <w:pPr>
        <w:tabs>
          <w:tab w:val="left" w:pos="0"/>
        </w:tabs>
        <w:ind w:left="2091" w:hanging="221"/>
      </w:pPr>
      <w:rPr>
        <w:rFonts w:hint="default" w:ascii="Symbol" w:hAnsi="Symbol" w:cs="Symbol"/>
      </w:rPr>
    </w:lvl>
    <w:lvl w:ilvl="3" w:tentative="0">
      <w:start w:val="0"/>
      <w:numFmt w:val="bullet"/>
      <w:lvlText w:val=""/>
      <w:lvlJc w:val="left"/>
      <w:pPr>
        <w:tabs>
          <w:tab w:val="left" w:pos="0"/>
        </w:tabs>
        <w:ind w:left="3017" w:hanging="221"/>
      </w:pPr>
      <w:rPr>
        <w:rFonts w:hint="default" w:ascii="Symbol" w:hAnsi="Symbol" w:cs="Symbol"/>
      </w:rPr>
    </w:lvl>
    <w:lvl w:ilvl="4" w:tentative="0">
      <w:start w:val="0"/>
      <w:numFmt w:val="bullet"/>
      <w:lvlText w:val=""/>
      <w:lvlJc w:val="left"/>
      <w:pPr>
        <w:tabs>
          <w:tab w:val="left" w:pos="0"/>
        </w:tabs>
        <w:ind w:left="3943" w:hanging="221"/>
      </w:pPr>
      <w:rPr>
        <w:rFonts w:hint="default" w:ascii="Symbol" w:hAnsi="Symbol" w:cs="Symbol"/>
      </w:rPr>
    </w:lvl>
    <w:lvl w:ilvl="5" w:tentative="0">
      <w:start w:val="0"/>
      <w:numFmt w:val="bullet"/>
      <w:lvlText w:val=""/>
      <w:lvlJc w:val="left"/>
      <w:pPr>
        <w:tabs>
          <w:tab w:val="left" w:pos="0"/>
        </w:tabs>
        <w:ind w:left="4869" w:hanging="221"/>
      </w:pPr>
      <w:rPr>
        <w:rFonts w:hint="default" w:ascii="Symbol" w:hAnsi="Symbol" w:cs="Symbol"/>
      </w:rPr>
    </w:lvl>
    <w:lvl w:ilvl="6" w:tentative="0">
      <w:start w:val="0"/>
      <w:numFmt w:val="bullet"/>
      <w:lvlText w:val=""/>
      <w:lvlJc w:val="left"/>
      <w:pPr>
        <w:tabs>
          <w:tab w:val="left" w:pos="0"/>
        </w:tabs>
        <w:ind w:left="5795" w:hanging="221"/>
      </w:pPr>
      <w:rPr>
        <w:rFonts w:hint="default" w:ascii="Symbol" w:hAnsi="Symbol" w:cs="Symbol"/>
      </w:rPr>
    </w:lvl>
    <w:lvl w:ilvl="7" w:tentative="0">
      <w:start w:val="0"/>
      <w:numFmt w:val="bullet"/>
      <w:lvlText w:val=""/>
      <w:lvlJc w:val="left"/>
      <w:pPr>
        <w:tabs>
          <w:tab w:val="left" w:pos="0"/>
        </w:tabs>
        <w:ind w:left="6720" w:hanging="221"/>
      </w:pPr>
      <w:rPr>
        <w:rFonts w:hint="default" w:ascii="Symbol" w:hAnsi="Symbol" w:cs="Symbol"/>
      </w:rPr>
    </w:lvl>
    <w:lvl w:ilvl="8" w:tentative="0">
      <w:start w:val="0"/>
      <w:numFmt w:val="bullet"/>
      <w:lvlText w:val=""/>
      <w:lvlJc w:val="left"/>
      <w:pPr>
        <w:tabs>
          <w:tab w:val="left" w:pos="0"/>
        </w:tabs>
        <w:ind w:left="7646" w:hanging="221"/>
      </w:pPr>
      <w:rPr>
        <w:rFonts w:hint="default" w:ascii="Symbol" w:hAnsi="Symbol" w:cs="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7C9"/>
    <w:rsid w:val="0000649C"/>
    <w:rsid w:val="00007E22"/>
    <w:rsid w:val="00020BAD"/>
    <w:rsid w:val="000269DA"/>
    <w:rsid w:val="00074332"/>
    <w:rsid w:val="00077547"/>
    <w:rsid w:val="000B15A6"/>
    <w:rsid w:val="000E1153"/>
    <w:rsid w:val="00101769"/>
    <w:rsid w:val="00106B51"/>
    <w:rsid w:val="0012423E"/>
    <w:rsid w:val="00162231"/>
    <w:rsid w:val="00170D53"/>
    <w:rsid w:val="00171C41"/>
    <w:rsid w:val="001927C9"/>
    <w:rsid w:val="001D6C9E"/>
    <w:rsid w:val="001F225D"/>
    <w:rsid w:val="002130DF"/>
    <w:rsid w:val="00215355"/>
    <w:rsid w:val="00237327"/>
    <w:rsid w:val="00267972"/>
    <w:rsid w:val="00283FEA"/>
    <w:rsid w:val="002B74C9"/>
    <w:rsid w:val="002C6841"/>
    <w:rsid w:val="002F35F6"/>
    <w:rsid w:val="00302F53"/>
    <w:rsid w:val="00310359"/>
    <w:rsid w:val="00315F89"/>
    <w:rsid w:val="00327A49"/>
    <w:rsid w:val="0034785C"/>
    <w:rsid w:val="00363338"/>
    <w:rsid w:val="003A4705"/>
    <w:rsid w:val="003E17D1"/>
    <w:rsid w:val="00472B05"/>
    <w:rsid w:val="004812DB"/>
    <w:rsid w:val="00484454"/>
    <w:rsid w:val="00486BC5"/>
    <w:rsid w:val="004A59CE"/>
    <w:rsid w:val="004C78A5"/>
    <w:rsid w:val="004E2DCE"/>
    <w:rsid w:val="004E3638"/>
    <w:rsid w:val="00514117"/>
    <w:rsid w:val="005272B7"/>
    <w:rsid w:val="00545070"/>
    <w:rsid w:val="00570576"/>
    <w:rsid w:val="005C28C1"/>
    <w:rsid w:val="005C6F89"/>
    <w:rsid w:val="005E4101"/>
    <w:rsid w:val="005F3102"/>
    <w:rsid w:val="006013EF"/>
    <w:rsid w:val="00607B59"/>
    <w:rsid w:val="00616088"/>
    <w:rsid w:val="00641AD9"/>
    <w:rsid w:val="00666589"/>
    <w:rsid w:val="00666A67"/>
    <w:rsid w:val="00670534"/>
    <w:rsid w:val="00677F43"/>
    <w:rsid w:val="0068232A"/>
    <w:rsid w:val="00691BDE"/>
    <w:rsid w:val="0069425D"/>
    <w:rsid w:val="006975ED"/>
    <w:rsid w:val="006A4DA5"/>
    <w:rsid w:val="006D1CE4"/>
    <w:rsid w:val="006D3C8B"/>
    <w:rsid w:val="006D6EAA"/>
    <w:rsid w:val="006F4EE7"/>
    <w:rsid w:val="00706FFB"/>
    <w:rsid w:val="00721E2A"/>
    <w:rsid w:val="00736DCF"/>
    <w:rsid w:val="0077222C"/>
    <w:rsid w:val="0079641D"/>
    <w:rsid w:val="007A53CD"/>
    <w:rsid w:val="007A7DE6"/>
    <w:rsid w:val="007B6A40"/>
    <w:rsid w:val="007E0F2C"/>
    <w:rsid w:val="007E727C"/>
    <w:rsid w:val="007F34DC"/>
    <w:rsid w:val="00811992"/>
    <w:rsid w:val="00833334"/>
    <w:rsid w:val="008514E5"/>
    <w:rsid w:val="00851F8B"/>
    <w:rsid w:val="00853390"/>
    <w:rsid w:val="00857671"/>
    <w:rsid w:val="00857F0B"/>
    <w:rsid w:val="008849D2"/>
    <w:rsid w:val="008979A1"/>
    <w:rsid w:val="008B446E"/>
    <w:rsid w:val="008D1AC3"/>
    <w:rsid w:val="008D79CE"/>
    <w:rsid w:val="008E504F"/>
    <w:rsid w:val="0091220D"/>
    <w:rsid w:val="009178F9"/>
    <w:rsid w:val="00942F85"/>
    <w:rsid w:val="00950F96"/>
    <w:rsid w:val="009561C1"/>
    <w:rsid w:val="00972747"/>
    <w:rsid w:val="009C5B81"/>
    <w:rsid w:val="009C75DA"/>
    <w:rsid w:val="009E4D14"/>
    <w:rsid w:val="00A17BB6"/>
    <w:rsid w:val="00A17CF1"/>
    <w:rsid w:val="00A33611"/>
    <w:rsid w:val="00A606AA"/>
    <w:rsid w:val="00A64001"/>
    <w:rsid w:val="00AC13E7"/>
    <w:rsid w:val="00AD169E"/>
    <w:rsid w:val="00B01775"/>
    <w:rsid w:val="00B0475A"/>
    <w:rsid w:val="00B07680"/>
    <w:rsid w:val="00B55436"/>
    <w:rsid w:val="00B63D48"/>
    <w:rsid w:val="00B73A89"/>
    <w:rsid w:val="00B76706"/>
    <w:rsid w:val="00B84B83"/>
    <w:rsid w:val="00BC4772"/>
    <w:rsid w:val="00BC52C5"/>
    <w:rsid w:val="00BE72E1"/>
    <w:rsid w:val="00C00A36"/>
    <w:rsid w:val="00C069C8"/>
    <w:rsid w:val="00C22295"/>
    <w:rsid w:val="00C31FC0"/>
    <w:rsid w:val="00C75580"/>
    <w:rsid w:val="00C87A6F"/>
    <w:rsid w:val="00CA613C"/>
    <w:rsid w:val="00CB7DC9"/>
    <w:rsid w:val="00CD0043"/>
    <w:rsid w:val="00CE5278"/>
    <w:rsid w:val="00D1233C"/>
    <w:rsid w:val="00D35E00"/>
    <w:rsid w:val="00D53C80"/>
    <w:rsid w:val="00D778C6"/>
    <w:rsid w:val="00D86664"/>
    <w:rsid w:val="00D86BFF"/>
    <w:rsid w:val="00DB5CFB"/>
    <w:rsid w:val="00DB7A04"/>
    <w:rsid w:val="00DC4003"/>
    <w:rsid w:val="00DD1B22"/>
    <w:rsid w:val="00DE70C5"/>
    <w:rsid w:val="00E0698C"/>
    <w:rsid w:val="00E15B48"/>
    <w:rsid w:val="00E21100"/>
    <w:rsid w:val="00E2141E"/>
    <w:rsid w:val="00E3223C"/>
    <w:rsid w:val="00E42421"/>
    <w:rsid w:val="00E45E37"/>
    <w:rsid w:val="00E66433"/>
    <w:rsid w:val="00E94038"/>
    <w:rsid w:val="00EB6D07"/>
    <w:rsid w:val="00EC2416"/>
    <w:rsid w:val="00EC3AC2"/>
    <w:rsid w:val="00EE6132"/>
    <w:rsid w:val="00EE6707"/>
    <w:rsid w:val="00F01D5A"/>
    <w:rsid w:val="00F51EB9"/>
    <w:rsid w:val="00F6637A"/>
    <w:rsid w:val="00F8664E"/>
    <w:rsid w:val="00F9697C"/>
    <w:rsid w:val="00FE0698"/>
    <w:rsid w:val="00FF1EA2"/>
    <w:rsid w:val="473D73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semiHidden="0" w:name="heading 2"/>
    <w:lsdException w:qFormat="1"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semiHidden="0"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28"/>
    <w:qFormat/>
    <w:uiPriority w:val="1"/>
    <w:pPr>
      <w:keepNext/>
      <w:keepLines/>
      <w:pBdr>
        <w:top w:val="none" w:color="auto" w:sz="0" w:space="0"/>
        <w:left w:val="none" w:color="auto" w:sz="0" w:space="0"/>
        <w:bottom w:val="none" w:color="auto" w:sz="0" w:space="0"/>
        <w:right w:val="none" w:color="auto" w:sz="0" w:space="0"/>
        <w:between w:val="none" w:color="auto" w:sz="0" w:space="0"/>
      </w:pBdr>
      <w:spacing w:before="480" w:after="120" w:line="240" w:lineRule="auto"/>
      <w:outlineLvl w:val="0"/>
    </w:pPr>
    <w:rPr>
      <w:rFonts w:ascii="Times New Roman" w:hAnsi="Times New Roman" w:eastAsia="Times New Roman" w:cs="Times New Roman"/>
      <w:b/>
      <w:color w:val="000000"/>
      <w:sz w:val="48"/>
      <w:szCs w:val="48"/>
      <w:lang w:val="es-AR" w:eastAsia="es-AR"/>
    </w:rPr>
  </w:style>
  <w:style w:type="paragraph" w:styleId="3">
    <w:name w:val="heading 2"/>
    <w:basedOn w:val="1"/>
    <w:next w:val="1"/>
    <w:link w:val="35"/>
    <w:unhideWhenUsed/>
    <w:qFormat/>
    <w:uiPriority w:val="1"/>
    <w:pPr>
      <w:keepNext/>
      <w:keepLines/>
      <w:spacing w:before="200" w:after="0"/>
      <w:outlineLvl w:val="1"/>
    </w:pPr>
    <w:rPr>
      <w:rFonts w:asciiTheme="majorHAnsi" w:hAnsiTheme="majorHAnsi" w:eastAsiaTheme="majorEastAsia" w:cstheme="majorBidi"/>
      <w:b/>
      <w:bCs/>
      <w:color w:val="5B9BD5" w:themeColor="accent1"/>
      <w:sz w:val="26"/>
      <w:szCs w:val="26"/>
      <w14:textFill>
        <w14:solidFill>
          <w14:schemeClr w14:val="accent1"/>
        </w14:solidFill>
      </w14:textFill>
    </w:rPr>
  </w:style>
  <w:style w:type="paragraph" w:styleId="4">
    <w:name w:val="heading 3"/>
    <w:basedOn w:val="1"/>
    <w:next w:val="1"/>
    <w:link w:val="36"/>
    <w:unhideWhenUsed/>
    <w:qFormat/>
    <w:uiPriority w:val="1"/>
    <w:pPr>
      <w:keepNext/>
      <w:keepLines/>
      <w:spacing w:before="200" w:after="0"/>
      <w:outlineLvl w:val="2"/>
    </w:pPr>
    <w:rPr>
      <w:rFonts w:asciiTheme="majorHAnsi" w:hAnsiTheme="majorHAnsi" w:eastAsiaTheme="majorEastAsia" w:cstheme="majorBidi"/>
      <w:b/>
      <w:bCs/>
      <w:color w:val="5B9BD5" w:themeColor="accent1"/>
      <w14:textFill>
        <w14:solidFill>
          <w14:schemeClr w14:val="accent1"/>
        </w14:solidFill>
      </w14:textFill>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Emphasis"/>
    <w:qFormat/>
    <w:uiPriority w:val="0"/>
    <w:rPr>
      <w:i/>
      <w:iCs/>
    </w:rPr>
  </w:style>
  <w:style w:type="character" w:styleId="8">
    <w:name w:val="Hyperlink"/>
    <w:uiPriority w:val="99"/>
    <w:rPr>
      <w:color w:val="0000FF"/>
      <w:u w:val="single"/>
    </w:rPr>
  </w:style>
  <w:style w:type="paragraph" w:styleId="9">
    <w:name w:val="Balloon Text"/>
    <w:basedOn w:val="1"/>
    <w:link w:val="24"/>
    <w:semiHidden/>
    <w:unhideWhenUsed/>
    <w:qFormat/>
    <w:uiPriority w:val="99"/>
    <w:pPr>
      <w:spacing w:after="0" w:line="240" w:lineRule="auto"/>
    </w:pPr>
    <w:rPr>
      <w:rFonts w:ascii="Segoe UI" w:hAnsi="Segoe UI" w:eastAsia="Calibri" w:cs="Segoe UI"/>
      <w:sz w:val="18"/>
      <w:szCs w:val="18"/>
      <w:lang w:val="es-AR"/>
    </w:rPr>
  </w:style>
  <w:style w:type="paragraph" w:styleId="10">
    <w:name w:val="header"/>
    <w:basedOn w:val="1"/>
    <w:link w:val="18"/>
    <w:unhideWhenUsed/>
    <w:qFormat/>
    <w:uiPriority w:val="99"/>
    <w:pPr>
      <w:tabs>
        <w:tab w:val="center" w:pos="4419"/>
        <w:tab w:val="right" w:pos="8838"/>
      </w:tabs>
      <w:spacing w:after="0" w:line="240" w:lineRule="auto"/>
    </w:pPr>
  </w:style>
  <w:style w:type="paragraph" w:styleId="11">
    <w:name w:val="Body Text Indent 3"/>
    <w:basedOn w:val="1"/>
    <w:link w:val="21"/>
    <w:unhideWhenUsed/>
    <w:qFormat/>
    <w:uiPriority w:val="99"/>
    <w:pPr>
      <w:spacing w:after="120"/>
      <w:ind w:left="283"/>
    </w:pPr>
    <w:rPr>
      <w:rFonts w:ascii="Calibri" w:hAnsi="Calibri" w:eastAsia="Calibri" w:cs="Times New Roman"/>
      <w:sz w:val="16"/>
      <w:szCs w:val="16"/>
      <w:lang w:val="es-AR"/>
    </w:rPr>
  </w:style>
  <w:style w:type="paragraph" w:styleId="12">
    <w:name w:val="Body Text Indent"/>
    <w:basedOn w:val="1"/>
    <w:link w:val="25"/>
    <w:unhideWhenUsed/>
    <w:qFormat/>
    <w:uiPriority w:val="99"/>
    <w:pPr>
      <w:spacing w:after="120"/>
      <w:ind w:left="283"/>
    </w:pPr>
  </w:style>
  <w:style w:type="paragraph" w:styleId="13">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s-ES" w:eastAsia="es-ES"/>
    </w:rPr>
  </w:style>
  <w:style w:type="paragraph" w:styleId="14">
    <w:name w:val="footer"/>
    <w:basedOn w:val="1"/>
    <w:link w:val="19"/>
    <w:unhideWhenUsed/>
    <w:qFormat/>
    <w:uiPriority w:val="99"/>
    <w:pPr>
      <w:tabs>
        <w:tab w:val="center" w:pos="4419"/>
        <w:tab w:val="right" w:pos="8838"/>
      </w:tabs>
      <w:spacing w:after="0" w:line="240" w:lineRule="auto"/>
    </w:pPr>
  </w:style>
  <w:style w:type="paragraph" w:styleId="15">
    <w:name w:val="Subtitle"/>
    <w:basedOn w:val="1"/>
    <w:link w:val="27"/>
    <w:qFormat/>
    <w:uiPriority w:val="0"/>
    <w:pPr>
      <w:spacing w:after="0" w:line="240" w:lineRule="auto"/>
      <w:jc w:val="both"/>
    </w:pPr>
    <w:rPr>
      <w:rFonts w:ascii="Times New Roman" w:hAnsi="Times New Roman" w:eastAsia="Times New Roman" w:cs="Times New Roman"/>
      <w:b/>
      <w:bCs/>
      <w:sz w:val="24"/>
      <w:szCs w:val="24"/>
      <w:lang w:val="es-MX" w:eastAsia="es-ES"/>
    </w:rPr>
  </w:style>
  <w:style w:type="paragraph" w:styleId="16">
    <w:name w:val="Body Text"/>
    <w:basedOn w:val="1"/>
    <w:link w:val="22"/>
    <w:unhideWhenUsed/>
    <w:qFormat/>
    <w:uiPriority w:val="1"/>
    <w:pPr>
      <w:spacing w:after="120"/>
    </w:pPr>
    <w:rPr>
      <w:rFonts w:ascii="Calibri" w:hAnsi="Calibri" w:eastAsia="Calibri" w:cs="Times New Roman"/>
      <w:lang w:val="es-AR"/>
    </w:rPr>
  </w:style>
  <w:style w:type="table" w:styleId="17">
    <w:name w:val="Table Grid"/>
    <w:basedOn w:val="6"/>
    <w:qFormat/>
    <w:uiPriority w:val="39"/>
    <w:pPr>
      <w:spacing w:after="0" w:line="240" w:lineRule="auto"/>
    </w:pPr>
    <w:rPr>
      <w:lang w:val="es-A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8">
    <w:name w:val="Encabezado Car"/>
    <w:basedOn w:val="5"/>
    <w:link w:val="10"/>
    <w:qFormat/>
    <w:uiPriority w:val="99"/>
  </w:style>
  <w:style w:type="character" w:customStyle="1" w:styleId="19">
    <w:name w:val="Pie de página Car"/>
    <w:basedOn w:val="5"/>
    <w:link w:val="14"/>
    <w:qFormat/>
    <w:uiPriority w:val="99"/>
  </w:style>
  <w:style w:type="paragraph" w:customStyle="1" w:styleId="20">
    <w:name w:val="Estándar"/>
    <w:basedOn w:val="1"/>
    <w:qFormat/>
    <w:uiPriority w:val="0"/>
    <w:pPr>
      <w:spacing w:after="0" w:line="240" w:lineRule="auto"/>
    </w:pPr>
    <w:rPr>
      <w:rFonts w:ascii="CG Times" w:hAnsi="CG Times" w:eastAsia="Times New Roman" w:cs="CG Times"/>
      <w:sz w:val="20"/>
      <w:szCs w:val="20"/>
      <w:lang w:val="es-ES" w:eastAsia="es-ES"/>
    </w:rPr>
  </w:style>
  <w:style w:type="character" w:customStyle="1" w:styleId="21">
    <w:name w:val="Sangría 3 de t. independiente Car"/>
    <w:basedOn w:val="5"/>
    <w:link w:val="11"/>
    <w:qFormat/>
    <w:uiPriority w:val="99"/>
    <w:rPr>
      <w:rFonts w:ascii="Calibri" w:hAnsi="Calibri" w:eastAsia="Calibri" w:cs="Times New Roman"/>
      <w:sz w:val="16"/>
      <w:szCs w:val="16"/>
      <w:lang w:val="es-AR"/>
    </w:rPr>
  </w:style>
  <w:style w:type="character" w:customStyle="1" w:styleId="22">
    <w:name w:val="Texto independiente Car"/>
    <w:basedOn w:val="5"/>
    <w:link w:val="16"/>
    <w:qFormat/>
    <w:uiPriority w:val="1"/>
    <w:rPr>
      <w:rFonts w:ascii="Calibri" w:hAnsi="Calibri" w:eastAsia="Calibri" w:cs="Times New Roman"/>
      <w:lang w:val="es-AR"/>
    </w:rPr>
  </w:style>
  <w:style w:type="paragraph" w:customStyle="1" w:styleId="23">
    <w:name w:val="Default"/>
    <w:qFormat/>
    <w:uiPriority w:val="0"/>
    <w:pPr>
      <w:autoSpaceDE w:val="0"/>
      <w:autoSpaceDN w:val="0"/>
      <w:adjustRightInd w:val="0"/>
      <w:spacing w:after="0" w:line="240" w:lineRule="auto"/>
    </w:pPr>
    <w:rPr>
      <w:rFonts w:ascii="Calibri" w:hAnsi="Calibri" w:eastAsia="Calibri" w:cs="Calibri"/>
      <w:color w:val="000000"/>
      <w:sz w:val="24"/>
      <w:szCs w:val="24"/>
      <w:lang w:val="es-ES" w:eastAsia="es-AR" w:bidi="ar-SA"/>
    </w:rPr>
  </w:style>
  <w:style w:type="character" w:customStyle="1" w:styleId="24">
    <w:name w:val="Texto de globo Car"/>
    <w:basedOn w:val="5"/>
    <w:link w:val="9"/>
    <w:semiHidden/>
    <w:qFormat/>
    <w:uiPriority w:val="99"/>
    <w:rPr>
      <w:rFonts w:ascii="Segoe UI" w:hAnsi="Segoe UI" w:eastAsia="Calibri" w:cs="Segoe UI"/>
      <w:sz w:val="18"/>
      <w:szCs w:val="18"/>
      <w:lang w:val="es-AR"/>
    </w:rPr>
  </w:style>
  <w:style w:type="character" w:customStyle="1" w:styleId="25">
    <w:name w:val="Sangría de texto normal Car"/>
    <w:basedOn w:val="5"/>
    <w:link w:val="12"/>
    <w:qFormat/>
    <w:uiPriority w:val="99"/>
  </w:style>
  <w:style w:type="paragraph" w:customStyle="1" w:styleId="26">
    <w:name w:val="Membrete"/>
    <w:basedOn w:val="1"/>
    <w:uiPriority w:val="0"/>
    <w:pPr>
      <w:spacing w:after="0" w:line="240" w:lineRule="auto"/>
    </w:pPr>
    <w:rPr>
      <w:rFonts w:ascii="Arial" w:hAnsi="Arial" w:eastAsia="Times New Roman" w:cs="Times New Roman"/>
      <w:sz w:val="20"/>
      <w:szCs w:val="24"/>
      <w:lang w:val="es-ES" w:eastAsia="es-ES"/>
    </w:rPr>
  </w:style>
  <w:style w:type="character" w:customStyle="1" w:styleId="27">
    <w:name w:val="Subtítulo Car"/>
    <w:basedOn w:val="5"/>
    <w:link w:val="15"/>
    <w:uiPriority w:val="0"/>
    <w:rPr>
      <w:rFonts w:ascii="Times New Roman" w:hAnsi="Times New Roman" w:eastAsia="Times New Roman" w:cs="Times New Roman"/>
      <w:b/>
      <w:bCs/>
      <w:sz w:val="24"/>
      <w:szCs w:val="24"/>
      <w:lang w:val="es-MX" w:eastAsia="es-ES"/>
    </w:rPr>
  </w:style>
  <w:style w:type="character" w:customStyle="1" w:styleId="28">
    <w:name w:val="Título 1 Car"/>
    <w:basedOn w:val="5"/>
    <w:link w:val="2"/>
    <w:uiPriority w:val="1"/>
    <w:rPr>
      <w:rFonts w:ascii="Times New Roman" w:hAnsi="Times New Roman" w:eastAsia="Times New Roman" w:cs="Times New Roman"/>
      <w:b/>
      <w:color w:val="000000"/>
      <w:sz w:val="48"/>
      <w:szCs w:val="48"/>
      <w:lang w:val="es-AR" w:eastAsia="es-AR"/>
    </w:rPr>
  </w:style>
  <w:style w:type="paragraph" w:styleId="29">
    <w:name w:val="List Paragraph"/>
    <w:basedOn w:val="1"/>
    <w:link w:val="30"/>
    <w:qFormat/>
    <w:uiPriority w:val="1"/>
    <w:pPr>
      <w:spacing w:after="200" w:line="276" w:lineRule="auto"/>
      <w:ind w:left="720"/>
      <w:contextualSpacing/>
    </w:pPr>
    <w:rPr>
      <w:rFonts w:ascii="Calibri" w:hAnsi="Calibri" w:eastAsia="Calibri" w:cs="Times New Roman"/>
      <w:lang w:val="es-ES"/>
    </w:rPr>
  </w:style>
  <w:style w:type="character" w:customStyle="1" w:styleId="30">
    <w:name w:val="Párrafo de lista Car"/>
    <w:link w:val="29"/>
    <w:qFormat/>
    <w:uiPriority w:val="34"/>
    <w:rPr>
      <w:rFonts w:ascii="Calibri" w:hAnsi="Calibri" w:eastAsia="Calibri" w:cs="Times New Roman"/>
      <w:lang w:val="es-ES"/>
    </w:rPr>
  </w:style>
  <w:style w:type="character" w:customStyle="1" w:styleId="31">
    <w:name w:val="Strong Emphasis"/>
    <w:qFormat/>
    <w:uiPriority w:val="0"/>
    <w:rPr>
      <w:b/>
      <w:bCs/>
    </w:rPr>
  </w:style>
  <w:style w:type="paragraph" w:customStyle="1" w:styleId="32">
    <w:name w:val="LO-normal"/>
    <w:qFormat/>
    <w:uiPriority w:val="0"/>
    <w:pPr>
      <w:suppressAutoHyphens/>
      <w:spacing w:after="0" w:line="240" w:lineRule="auto"/>
    </w:pPr>
    <w:rPr>
      <w:rFonts w:ascii="Times New Roman" w:hAnsi="Times New Roman" w:eastAsia="Noto Serif CJK SC" w:cs="Lohit Devanagari"/>
      <w:sz w:val="24"/>
      <w:szCs w:val="24"/>
      <w:lang w:val="es-AR" w:eastAsia="zh-CN" w:bidi="hi-IN"/>
    </w:rPr>
  </w:style>
  <w:style w:type="paragraph" w:customStyle="1" w:styleId="33">
    <w:name w:val="Hanging Indent"/>
    <w:basedOn w:val="16"/>
    <w:qFormat/>
    <w:uiPriority w:val="0"/>
    <w:pPr>
      <w:tabs>
        <w:tab w:val="left" w:pos="0"/>
      </w:tabs>
      <w:suppressAutoHyphens/>
      <w:spacing w:after="140" w:line="276" w:lineRule="auto"/>
      <w:ind w:left="567" w:hanging="283"/>
    </w:pPr>
    <w:rPr>
      <w:rFonts w:ascii="Times New Roman" w:hAnsi="Times New Roman" w:eastAsia="Noto Serif CJK SC" w:cs="Lohit Devanagari"/>
      <w:sz w:val="24"/>
      <w:szCs w:val="24"/>
      <w:lang w:eastAsia="zh-CN" w:bidi="hi-IN"/>
    </w:rPr>
  </w:style>
  <w:style w:type="paragraph" w:customStyle="1" w:styleId="34">
    <w:name w:val="Bibliography 1"/>
    <w:basedOn w:val="1"/>
    <w:qFormat/>
    <w:uiPriority w:val="0"/>
    <w:pPr>
      <w:suppressLineNumbers/>
      <w:tabs>
        <w:tab w:val="right" w:leader="dot" w:pos="9638"/>
      </w:tabs>
      <w:suppressAutoHyphens/>
      <w:spacing w:after="57" w:line="240" w:lineRule="auto"/>
      <w:ind w:left="510" w:hanging="510"/>
      <w:jc w:val="both"/>
    </w:pPr>
    <w:rPr>
      <w:rFonts w:ascii="Times New Roman" w:hAnsi="Times New Roman" w:eastAsia="Noto Serif CJK SC" w:cs="Lohit Devanagari"/>
      <w:sz w:val="24"/>
      <w:szCs w:val="24"/>
      <w:lang w:val="es-AR" w:eastAsia="zh-CN" w:bidi="hi-IN"/>
    </w:rPr>
  </w:style>
  <w:style w:type="character" w:customStyle="1" w:styleId="35">
    <w:name w:val="Título 2 Car"/>
    <w:basedOn w:val="5"/>
    <w:link w:val="3"/>
    <w:uiPriority w:val="1"/>
    <w:rPr>
      <w:rFonts w:asciiTheme="majorHAnsi" w:hAnsiTheme="majorHAnsi" w:eastAsiaTheme="majorEastAsia" w:cstheme="majorBidi"/>
      <w:b/>
      <w:bCs/>
      <w:color w:val="5B9BD5" w:themeColor="accent1"/>
      <w:sz w:val="26"/>
      <w:szCs w:val="26"/>
      <w14:textFill>
        <w14:solidFill>
          <w14:schemeClr w14:val="accent1"/>
        </w14:solidFill>
      </w14:textFill>
    </w:rPr>
  </w:style>
  <w:style w:type="character" w:customStyle="1" w:styleId="36">
    <w:name w:val="Título 3 Car"/>
    <w:basedOn w:val="5"/>
    <w:link w:val="4"/>
    <w:uiPriority w:val="1"/>
    <w:rPr>
      <w:rFonts w:asciiTheme="majorHAnsi" w:hAnsiTheme="majorHAnsi" w:eastAsiaTheme="majorEastAsia" w:cstheme="majorBidi"/>
      <w:b/>
      <w:bCs/>
      <w:color w:val="5B9BD5" w:themeColor="accent1"/>
      <w14:textFill>
        <w14:solidFill>
          <w14:schemeClr w14:val="accent1"/>
        </w14:solidFill>
      </w14:textFill>
    </w:rPr>
  </w:style>
  <w:style w:type="table" w:customStyle="1" w:styleId="37">
    <w:name w:val="Table Normal"/>
    <w:semiHidden/>
    <w:unhideWhenUsed/>
    <w:qFormat/>
    <w:uiPriority w:val="2"/>
    <w:pPr>
      <w:spacing w:after="0" w:line="240" w:lineRule="auto"/>
    </w:pPr>
    <w:rPr>
      <w:sz w:val="20"/>
      <w:szCs w:val="20"/>
      <w:lang w:val="es-AR" w:eastAsia="es-AR"/>
    </w:rPr>
    <w:tblPr>
      <w:tblCellMar>
        <w:top w:w="0" w:type="dxa"/>
        <w:left w:w="0" w:type="dxa"/>
        <w:bottom w:w="0" w:type="dxa"/>
        <w:right w:w="0" w:type="dxa"/>
      </w:tblCellMar>
    </w:tblPr>
  </w:style>
  <w:style w:type="paragraph" w:customStyle="1" w:styleId="38">
    <w:name w:val="Table Paragraph"/>
    <w:basedOn w:val="1"/>
    <w:qFormat/>
    <w:uiPriority w:val="1"/>
    <w:pPr>
      <w:widowControl w:val="0"/>
      <w:autoSpaceDE w:val="0"/>
      <w:autoSpaceDN w:val="0"/>
      <w:spacing w:after="0" w:line="240" w:lineRule="auto"/>
    </w:pPr>
    <w:rPr>
      <w:rFonts w:ascii="Calibri" w:hAnsi="Calibri" w:eastAsia="Calibri" w:cs="Calibri"/>
      <w:lang w:val="es-E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3537</Words>
  <Characters>21219</Characters>
  <Lines>179</Lines>
  <Paragraphs>50</Paragraphs>
  <TotalTime>29</TotalTime>
  <ScaleCrop>false</ScaleCrop>
  <LinksUpToDate>false</LinksUpToDate>
  <CharactersWithSpaces>24763</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2026-08-13T13:37:00Z</dcterms:created>
  <dc:creator>Usuario</dc:creator>
  <cp:lastModifiedBy>WPS_1771591544</cp:lastModifiedBy>
  <cp:lastPrinted>2026-07-08T13:46:00Z</cp:lastPrinted>
  <dcterms:modified xsi:type="dcterms:W3CDTF">2026-08-18T14:52:48Z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eyJoZGlkIjoiNDNiNTNjYjEyNDk1NTU4NzQ0NjU5MjI5NmVlMjhiMGIiLCJ1c2VySWQiOiIzNzI4NzU5NzA1NTg4In0=</vt:lpwstr>
  </property>
  <property fmtid="{D5CDD505-2E9C-101B-9397-08002B2CF9AE}" pid="3" name="KSOProductBuildVer">
    <vt:lpwstr>3082-12.1.0.28032</vt:lpwstr>
  </property>
  <property fmtid="{D5CDD505-2E9C-101B-9397-08002B2CF9AE}" pid="4" name="ICV">
    <vt:lpwstr>AACBE2C4B07B4E1FA00D618AD54A74B9_12</vt:lpwstr>
  </property>
</Properties>
</file>